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9" w:name="wynn-earnings-predictions--2026-08-04"/>
    <w:p>
      <w:pPr>
        <w:pStyle w:val="Heading1"/>
      </w:pPr>
      <w:r>
        <w:t xml:space="preserve">WYNN Earnings Predictions — 2026-08-04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1320"/>
        <w:gridCol w:w="1320"/>
        <w:gridCol w:w="1320"/>
        <w:gridCol w:w="1320"/>
        <w:gridCol w:w="1320"/>
        <w:gridCol w:w="132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Ticker</w:t>
            </w:r>
          </w:p>
        </w:tc>
        <w:tc>
          <w:tcPr/>
          <w:p>
            <w:pPr>
              <w:pStyle w:val="Compact"/>
            </w:pPr>
            <w:r>
              <w:t xml:space="preserve">Report or Guide</w:t>
            </w:r>
          </w:p>
        </w:tc>
        <w:tc>
          <w:tcPr/>
          <w:p>
            <w:pPr>
              <w:pStyle w:val="Compact"/>
            </w:pPr>
            <w:r>
              <w:t xml:space="preserve">KPI</w:t>
            </w:r>
          </w:p>
        </w:tc>
        <w:tc>
          <w:tcPr/>
          <w:p>
            <w:pPr>
              <w:pStyle w:val="Compact"/>
            </w:pPr>
            <w:r>
              <w:t xml:space="preserve">Prediction</w:t>
            </w:r>
          </w:p>
        </w:tc>
        <w:tc>
          <w:tcPr/>
          <w:p>
            <w:pPr>
              <w:pStyle w:val="Compact"/>
            </w:pPr>
            <w:r>
              <w:t xml:space="preserve">Answer</w:t>
            </w:r>
          </w:p>
        </w:tc>
        <w:tc>
          <w:tcPr/>
          <w:p>
            <w:pPr>
              <w:pStyle w:val="Compact"/>
            </w:pPr>
            <w:r>
              <w:t xml:space="preserve">Confidence</w:t>
            </w:r>
          </w:p>
        </w:tc>
      </w:tr>
      <w:tr>
        <w:tc>
          <w:tcPr/>
          <w:p>
            <w:pPr>
              <w:pStyle w:val="Compact"/>
            </w:pPr>
            <w:r>
              <w:t xml:space="preserve">WYNN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Macau Adj. Property EBITDAR (Q2 2026)</w:t>
            </w:r>
          </w:p>
        </w:tc>
        <w:tc>
          <w:tcPr/>
          <w:p>
            <w:pPr>
              <w:pStyle w:val="Compact"/>
            </w:pPr>
            <w:r>
              <w:t xml:space="preserve">MISS</w:t>
            </w:r>
          </w:p>
        </w:tc>
        <w:tc>
          <w:tcPr/>
          <w:p>
            <w:pPr>
              <w:pStyle w:val="Compact"/>
            </w:pPr>
            <w:r>
              <w:t xml:space="preserve">pred ~$260M vs. cons $282.8M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WYNN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Las Vegas Adj. Property EBITDAR (Q2 2026)</w:t>
            </w:r>
          </w:p>
        </w:tc>
        <w:tc>
          <w:tcPr/>
          <w:p>
            <w:pPr>
              <w:pStyle w:val="Compact"/>
            </w:pPr>
            <w:r>
              <w:t xml:space="preserve">IN-LINE</w:t>
            </w:r>
          </w:p>
        </w:tc>
        <w:tc>
          <w:tcPr/>
          <w:p>
            <w:pPr>
              <w:pStyle w:val="Compact"/>
            </w:pPr>
            <w:r>
              <w:t xml:space="preserve">pred ~$218M vs. cons $216.0M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WYNN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Total Adj. Property EBITDAR (Q2 2026)</w:t>
            </w:r>
          </w:p>
        </w:tc>
        <w:tc>
          <w:tcPr/>
          <w:p>
            <w:pPr>
              <w:pStyle w:val="Compact"/>
            </w:pPr>
            <w:r>
              <w:t xml:space="preserve">MISS</w:t>
            </w:r>
          </w:p>
        </w:tc>
        <w:tc>
          <w:tcPr/>
          <w:p>
            <w:pPr>
              <w:pStyle w:val="Compact"/>
            </w:pPr>
            <w:r>
              <w:t xml:space="preserve">pred ~$525M vs. cons $554.2M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WYNN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Las Vegas OpEx/day (FY 2026)</w:t>
            </w:r>
          </w:p>
        </w:tc>
        <w:tc>
          <w:tcPr/>
          <w:p>
            <w:pPr>
              <w:pStyle w:val="Compact"/>
            </w:pPr>
            <w:r>
              <w:t xml:space="preserve">UNCHANGED</w:t>
            </w:r>
          </w:p>
        </w:tc>
        <w:tc>
          <w:tcPr/>
          <w:p>
            <w:pPr>
              <w:pStyle w:val="Compact"/>
            </w:pPr>
            <w:r>
              <w:t xml:space="preserve">guide ~</w:t>
            </w:r>
            <m:oMath>
              <m:r>
                <m:t>4.4</m:t>
              </m:r>
              <m:r>
                <m:rPr>
                  <m:sty m:val="p"/>
                </m:rPr>
                <m:t>−</m:t>
              </m:r>
              <m:r>
                <m:t>4.6</m:t>
              </m:r>
              <m:r>
                <m:t>M</m:t>
              </m:r>
              <m:r>
                <m:t>v</m:t>
              </m:r>
              <m:r>
                <m:t>s</m:t>
              </m:r>
              <m:r>
                <m:rPr>
                  <m:sty m:val="p"/>
                </m:rPr>
                <m:t>.</m:t>
              </m:r>
              <m:r>
                <m:t>c</m:t>
              </m:r>
              <m:r>
                <m:t>o</m:t>
              </m:r>
              <m:r>
                <m:t>n</m:t>
              </m:r>
              <m:r>
                <m:t>s</m:t>
              </m:r>
              <m:r>
                <m:t> </m:t>
              </m:r>
            </m:oMath>
            <w:r>
              <w:t xml:space="preserve">4.5M (UNVERIFIED)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WYNN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UAE Opening Timeline (2027)</w:t>
            </w:r>
          </w:p>
        </w:tc>
        <w:tc>
          <w:tcPr/>
          <w:p>
            <w:pPr>
              <w:pStyle w:val="Compact"/>
            </w:pPr>
            <w:r>
              <w:t xml:space="preserve">LOWER</w:t>
            </w:r>
          </w:p>
        </w:tc>
        <w:tc>
          <w:tcPr/>
          <w:p>
            <w:pPr>
              <w:pStyle w:val="Compact"/>
            </w:pPr>
            <w:r>
              <w:t xml:space="preserve">3-6 month delay quantified vs. early 2027 prior (UNVERIFIED)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WYNN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Macau Q3 2026 Demand Trajectory</w:t>
            </w:r>
          </w:p>
        </w:tc>
        <w:tc>
          <w:tcPr/>
          <w:p>
            <w:pPr>
              <w:pStyle w:val="Compact"/>
            </w:pPr>
            <w:r>
              <w:t xml:space="preserve">BETTER</w:t>
            </w:r>
          </w:p>
        </w:tc>
        <w:tc>
          <w:tcPr/>
          <w:p>
            <w:pPr>
              <w:pStyle w:val="Compact"/>
            </w:pPr>
            <w:r>
              <w:t xml:space="preserve">positive July commentary vs. cons $308M Q3 EBITDAR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WYNN</w:t>
            </w:r>
          </w:p>
        </w:tc>
        <w:tc>
          <w:tcPr/>
          <w:p>
            <w:pPr>
              <w:pStyle w:val="Compact"/>
            </w:pPr>
            <w:r>
              <w:t xml:space="preserve">Return</w:t>
            </w:r>
          </w:p>
        </w:tc>
        <w:tc>
          <w:tcPr/>
          <w:p>
            <w:pPr>
              <w:pStyle w:val="Compact"/>
            </w:pPr>
            <w:r>
              <w:t xml:space="preserve">Day-1 residual (stock − beta × S&amp;P 500)</w:t>
            </w:r>
          </w:p>
        </w:tc>
        <w:tc>
          <w:tcPr/>
          <w:p>
            <w:pPr>
              <w:pStyle w:val="Compact"/>
            </w:pPr>
            <w:r>
              <w:t xml:space="preserve">-2.5%</w:t>
            </w:r>
          </w:p>
        </w:tc>
        <w:tc>
          <w:tcPr/>
          <w:p>
            <w:pPr>
              <w:pStyle w:val="Compact"/>
            </w:pPr>
            <w:r>
              <w:t xml:space="preserve">—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WYNN</w:t>
            </w:r>
          </w:p>
        </w:tc>
        <w:tc>
          <w:tcPr/>
          <w:p>
            <w:pPr>
              <w:pStyle w:val="Compact"/>
            </w:pPr>
            <w:r>
              <w:t xml:space="preserve">Return</w:t>
            </w:r>
          </w:p>
        </w:tc>
        <w:tc>
          <w:tcPr/>
          <w:p>
            <w:pPr>
              <w:pStyle w:val="Compact"/>
            </w:pPr>
            <w:r>
              <w:t xml:space="preserve">5-day cumulative residual</w:t>
            </w:r>
          </w:p>
        </w:tc>
        <w:tc>
          <w:tcPr/>
          <w:p>
            <w:pPr>
              <w:pStyle w:val="Compact"/>
            </w:pPr>
            <w:r>
              <w:t xml:space="preserve">-7.0% (FOLLOW-THROUGH)</w:t>
            </w:r>
          </w:p>
        </w:tc>
        <w:tc>
          <w:tcPr/>
          <w:p>
            <w:pPr>
              <w:pStyle w:val="Compact"/>
            </w:pPr>
            <w:r>
              <w:t xml:space="preserve">FOLLOW-THROUGH — UAE delay quantification forces 2027 estimate cuts over the following week; sell-side models the implied out-period math and pulls FY 2027 EBITDA lower, dragging the stock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</w:tbl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2026-08-07T02:03:02Z</dcterms:created>
  <dcterms:modified xsi:type="dcterms:W3CDTF">2026-08-07T02:03:02Z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