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Wynn Resorts, Limited (WYNN)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Wynn Resorts, Limited</w:t>
            </w:r>
          </w:p>
        </w:tc>
      </w:tr>
      <w:tr>
        <w:tc>
          <w:tcPr>
            <w:tcW w:type="dxa" w:w="4320"/>
          </w:tcPr>
          <w:p>
            <w:r>
              <w:rPr>
                <w:rFonts w:ascii="Calibri" w:hAnsi="Calibri"/>
                <w:b/>
                <w:sz w:val="22"/>
              </w:rPr>
              <w:t>Ticker</w:t>
            </w:r>
          </w:p>
        </w:tc>
        <w:tc>
          <w:tcPr>
            <w:tcW w:type="dxa" w:w="4320"/>
          </w:tcPr>
          <w:p>
            <w:r>
              <w:rPr>
                <w:rFonts w:ascii="Calibri" w:hAnsi="Calibri"/>
                <w:sz w:val="22"/>
              </w:rPr>
              <w:t>NASDAQ: WYNN</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4, 2026 — After Market Close</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Last Earnings</w:t>
            </w:r>
          </w:p>
        </w:tc>
        <w:tc>
          <w:tcPr>
            <w:tcW w:type="dxa" w:w="4320"/>
          </w:tcPr>
          <w:p>
            <w:r>
              <w:rPr>
                <w:rFonts w:ascii="Calibri" w:hAnsi="Calibri"/>
                <w:sz w:val="22"/>
              </w:rPr>
              <w:t>Q1 2026 — May 7,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Setup is mixed-to-cautious — consensus has drifted lower since Q1 and the bar is now modest, but the biggest swing factor is </w:t>
      </w:r>
      <w:r>
        <w:rPr>
          <w:rFonts w:ascii="Calibri" w:hAnsi="Calibri"/>
          <w:b/>
          <w:color w:val="525866"/>
          <w:sz w:val="22"/>
        </w:rPr>
        <w:t>Macau VIP hold normalization</w:t>
      </w:r>
      <w:r>
        <w:rPr>
          <w:rFonts w:ascii="Calibri" w:hAnsi="Calibri"/>
          <w:color w:val="525866"/>
          <w:sz w:val="22"/>
        </w:rPr>
        <w:t>, which alone could swing EBITDAR by $50–$80M versus reported.</w:t>
      </w:r>
    </w:p>
    <w:p>
      <w:r>
        <w:rPr>
          <w:rFonts w:ascii="Calibri" w:hAnsi="Calibri"/>
          <w:color w:val="525866"/>
          <w:sz w:val="22"/>
        </w:rPr>
        <w:t xml:space="preserve">Heading into Q2 2026, WYNN faces a </w:t>
      </w:r>
      <w:r>
        <w:rPr>
          <w:rFonts w:ascii="Calibri" w:hAnsi="Calibri"/>
          <w:b/>
          <w:color w:val="525866"/>
          <w:sz w:val="22"/>
        </w:rPr>
        <w:t>low-to-moderate consensus bar</w:t>
      </w:r>
      <w:r>
        <w:rPr>
          <w:rFonts w:ascii="Calibri" w:hAnsi="Calibri"/>
          <w:color w:val="525866"/>
          <w:sz w:val="22"/>
        </w:rPr>
        <w:t xml:space="preserve"> with the street modeling $1.09 in operating EPS (down from $1.25 in Q1) and $1.83B in net revenues, implying roughly 5–6% year-over-year revenue growth. Management's tone on the Q1 call was constructive — Las Vegas drop and handle were both running ahead of prior year in April, ADR was up year-on-year, and Macau mass drop was tracking above last year — but the EBITDA miss in Q1 (driven by above-guided OpEx per day and below-normal VIP hold in Macau) has kept estimates anchored rather than rising. Estimate revisions have been modestly negative since the Q1 print, with the Zacks consensus EPS declining from $1.08 to $1.01 over the past 30 days, suggesting the street is still digesting the cost trajectory and UAE delay uncertainty rather than pricing in upside. The stock has underperformed the XLY by roughly 6.5 percentage points since the Q1 earnings date (WYNN −7.9% vs. XLY −1.4%), suggesting the market has not priced in a beat and the multiple remains compressed, which limits downside on a modest miss but also caps the re-rating on an in-line print. The single biggest wildcard is </w:t>
      </w:r>
      <w:r>
        <w:rPr>
          <w:rFonts w:ascii="Calibri" w:hAnsi="Calibri"/>
          <w:b/>
          <w:color w:val="525866"/>
          <w:sz w:val="22"/>
        </w:rPr>
        <w:t>Macau VIP hold</w:t>
      </w:r>
      <w:r>
        <w:rPr>
          <w:rFonts w:ascii="Calibri" w:hAnsi="Calibri"/>
          <w:color w:val="525866"/>
          <w:sz w:val="22"/>
        </w:rPr>
        <w:t>: LVS flagged an exceptionally low 1.35% VIP rolling hold in Q2 (vs. ~3.0% theoretical) that cost $87M in EBITDA, and MGM noted the World Cup temporarily impacted June volumes — if WYNN experienced similar hold headwinds, reported EBITDAR could miss consensus materially even on solid underlying volumes, while a hold normalization would be a meaningful positive surprise.</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low-to-moderate bar</w:t>
      </w:r>
      <w:r>
        <w:rPr>
          <w:rFonts w:ascii="Calibri" w:hAnsi="Calibri"/>
          <w:color w:val="525866"/>
          <w:sz w:val="22"/>
        </w:rPr>
        <w:t xml:space="preserve"> on revenue but a </w:t>
      </w:r>
      <w:r>
        <w:rPr>
          <w:rFonts w:ascii="Calibri" w:hAnsi="Calibri"/>
          <w:b/>
          <w:color w:val="525866"/>
          <w:sz w:val="22"/>
        </w:rPr>
        <w:t>tighter bar on EBITDAR</w:t>
      </w:r>
      <w:r>
        <w:rPr>
          <w:rFonts w:ascii="Calibri" w:hAnsi="Calibri"/>
          <w:color w:val="525866"/>
          <w:sz w:val="22"/>
        </w:rPr>
        <w:t xml:space="preserve"> given Q1’s miss; Macau EBITDAR is the bigger swing factor given VIP hold volatility flagged by peers.</w:t>
      </w:r>
    </w:p>
    <w:p>
      <w:pPr>
        <w:pStyle w:val="Heading2"/>
      </w:pPr>
      <w:r>
        <w:rPr>
          <w:rFonts w:ascii="Calibri" w:hAnsi="Calibri"/>
          <w:b/>
          <w:color w:val="3B4259"/>
          <w:sz w:val="28"/>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(Q1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Revenues ($M)</w:t>
            </w:r>
          </w:p>
        </w:tc>
        <w:tc>
          <w:tcPr>
            <w:tcW w:type="dxa" w:w="1234"/>
          </w:tcPr>
          <w:p>
            <w:r>
              <w:rPr>
                <w:rFonts w:ascii="Calibri" w:hAnsi="Calibri"/>
                <w:sz w:val="22"/>
              </w:rPr>
              <w:t>$1,856.8</w:t>
            </w:r>
          </w:p>
        </w:tc>
        <w:tc>
          <w:tcPr>
            <w:tcW w:type="dxa" w:w="1234"/>
          </w:tcPr>
          <w:p>
            <w:r>
              <w:rPr>
                <w:rFonts w:ascii="Calibri" w:hAnsi="Calibri"/>
                <w:sz w:val="22"/>
              </w:rPr>
              <w:t>$1,737.8</w:t>
            </w:r>
          </w:p>
        </w:tc>
        <w:tc>
          <w:tcPr>
            <w:tcW w:type="dxa" w:w="1234"/>
          </w:tcPr>
          <w:p>
            <w:r>
              <w:rPr>
                <w:rFonts w:ascii="Calibri" w:hAnsi="Calibri"/>
                <w:sz w:val="22"/>
              </w:rPr>
              <w:t>$1,830.9</w:t>
            </w:r>
          </w:p>
        </w:tc>
        <w:tc>
          <w:tcPr>
            <w:tcW w:type="dxa" w:w="1234"/>
          </w:tcPr>
          <w:p>
            <w:r>
              <w:rPr>
                <w:rFonts w:ascii="Calibri" w:hAnsi="Calibri"/>
                <w:sz w:val="22"/>
              </w:rPr>
              <w:t>+5.4%</w:t>
            </w:r>
          </w:p>
        </w:tc>
        <w:tc>
          <w:tcPr>
            <w:tcW w:type="dxa" w:w="1234"/>
          </w:tcPr>
          <w:p>
            <w:r>
              <w:rPr>
                <w:rFonts w:ascii="Calibri" w:hAnsi="Calibri"/>
                <w:sz w:val="22"/>
              </w:rPr>
              <w:t>No specific Q2 guidance; full-year positive tone</w:t>
            </w:r>
          </w:p>
        </w:tc>
        <w:tc>
          <w:tcPr>
            <w:tcW w:type="dxa" w:w="1234"/>
          </w:tcPr>
          <w:p>
            <w:r>
              <w:rPr>
                <w:rFonts w:ascii="Calibri" w:hAnsi="Calibri"/>
                <w:sz w:val="22"/>
              </w:rPr>
              <w:t>N/A</w:t>
            </w:r>
          </w:p>
        </w:tc>
      </w:tr>
      <w:tr>
        <w:tc>
          <w:tcPr>
            <w:tcW w:type="dxa" w:w="1234"/>
          </w:tcPr>
          <w:p>
            <w:r>
              <w:rPr>
                <w:rFonts w:ascii="Calibri" w:hAnsi="Calibri"/>
                <w:sz w:val="22"/>
              </w:rPr>
              <w:t>Adj. Property EBITDAR ($M)</w:t>
            </w:r>
          </w:p>
        </w:tc>
        <w:tc>
          <w:tcPr>
            <w:tcW w:type="dxa" w:w="1234"/>
          </w:tcPr>
          <w:p>
            <w:r>
              <w:rPr>
                <w:rFonts w:ascii="Calibri" w:hAnsi="Calibri"/>
                <w:sz w:val="22"/>
              </w:rPr>
              <w:t>$562.4</w:t>
            </w:r>
          </w:p>
        </w:tc>
        <w:tc>
          <w:tcPr>
            <w:tcW w:type="dxa" w:w="1234"/>
          </w:tcPr>
          <w:p>
            <w:r>
              <w:rPr>
                <w:rFonts w:ascii="Calibri" w:hAnsi="Calibri"/>
                <w:sz w:val="22"/>
              </w:rPr>
              <w:t>$552.4</w:t>
            </w:r>
          </w:p>
        </w:tc>
        <w:tc>
          <w:tcPr>
            <w:tcW w:type="dxa" w:w="1234"/>
          </w:tcPr>
          <w:p>
            <w:r>
              <w:rPr>
                <w:rFonts w:ascii="Calibri" w:hAnsi="Calibri"/>
                <w:sz w:val="22"/>
              </w:rPr>
              <w:t>$554.2</w:t>
            </w:r>
          </w:p>
        </w:tc>
        <w:tc>
          <w:tcPr>
            <w:tcW w:type="dxa" w:w="1234"/>
          </w:tcPr>
          <w:p>
            <w:r>
              <w:rPr>
                <w:rFonts w:ascii="Calibri" w:hAnsi="Calibri"/>
                <w:sz w:val="22"/>
              </w:rPr>
              <w:t>+0.3%</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EPS — Diluted Operating ($)</w:t>
            </w:r>
          </w:p>
        </w:tc>
        <w:tc>
          <w:tcPr>
            <w:tcW w:type="dxa" w:w="1234"/>
          </w:tcPr>
          <w:p>
            <w:r>
              <w:rPr>
                <w:rFonts w:ascii="Calibri" w:hAnsi="Calibri"/>
                <w:sz w:val="22"/>
              </w:rPr>
              <w:t>$1.25</w:t>
            </w:r>
          </w:p>
        </w:tc>
        <w:tc>
          <w:tcPr>
            <w:tcW w:type="dxa" w:w="1234"/>
          </w:tcPr>
          <w:p>
            <w:r>
              <w:rPr>
                <w:rFonts w:ascii="Calibri" w:hAnsi="Calibri"/>
                <w:sz w:val="22"/>
              </w:rPr>
              <w:t>$1.09</w:t>
            </w:r>
          </w:p>
        </w:tc>
        <w:tc>
          <w:tcPr>
            <w:tcW w:type="dxa" w:w="1234"/>
          </w:tcPr>
          <w:p>
            <w:r>
              <w:rPr>
                <w:rFonts w:ascii="Calibri" w:hAnsi="Calibri"/>
                <w:sz w:val="22"/>
              </w:rPr>
              <w:t>$1.09</w:t>
            </w:r>
          </w:p>
        </w:tc>
        <w:tc>
          <w:tcPr>
            <w:tcW w:type="dxa" w:w="1234"/>
          </w:tcPr>
          <w:p>
            <w:r>
              <w:rPr>
                <w:rFonts w:ascii="Calibri" w:hAnsi="Calibri"/>
                <w:sz w:val="22"/>
              </w:rPr>
              <w:t>0.0%</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Las Vegas Revenue ($M)</w:t>
            </w:r>
          </w:p>
        </w:tc>
        <w:tc>
          <w:tcPr>
            <w:tcW w:type="dxa" w:w="1234"/>
          </w:tcPr>
          <w:p>
            <w:r>
              <w:rPr>
                <w:rFonts w:ascii="Calibri" w:hAnsi="Calibri"/>
                <w:sz w:val="22"/>
              </w:rPr>
              <w:t>$661.9</w:t>
            </w:r>
          </w:p>
        </w:tc>
        <w:tc>
          <w:tcPr>
            <w:tcW w:type="dxa" w:w="1234"/>
          </w:tcPr>
          <w:p>
            <w:r>
              <w:rPr>
                <w:rFonts w:ascii="Calibri" w:hAnsi="Calibri"/>
                <w:sz w:val="22"/>
              </w:rPr>
              <w:t>$638.6</w:t>
            </w:r>
          </w:p>
        </w:tc>
        <w:tc>
          <w:tcPr>
            <w:tcW w:type="dxa" w:w="1234"/>
          </w:tcPr>
          <w:p>
            <w:r>
              <w:rPr>
                <w:rFonts w:ascii="Calibri" w:hAnsi="Calibri"/>
                <w:sz w:val="22"/>
              </w:rPr>
              <w:t>$634.9</w:t>
            </w:r>
          </w:p>
        </w:tc>
        <w:tc>
          <w:tcPr>
            <w:tcW w:type="dxa" w:w="1234"/>
          </w:tcPr>
          <w:p>
            <w:r>
              <w:rPr>
                <w:rFonts w:ascii="Calibri" w:hAnsi="Calibri"/>
                <w:sz w:val="22"/>
              </w:rPr>
              <w:t>−0.6%</w:t>
            </w:r>
          </w:p>
        </w:tc>
        <w:tc>
          <w:tcPr>
            <w:tcW w:type="dxa" w:w="1234"/>
          </w:tcPr>
          <w:p>
            <w:r>
              <w:rPr>
                <w:rFonts w:ascii="Calibri" w:hAnsi="Calibri"/>
                <w:sz w:val="22"/>
              </w:rPr>
              <w:t>Drop &amp; handle up YoY in April; ADR up YoY in April; group business on pace to grow room nights &amp; rate above 2025</w:t>
            </w:r>
          </w:p>
        </w:tc>
        <w:tc>
          <w:tcPr>
            <w:tcW w:type="dxa" w:w="1234"/>
          </w:tcPr>
          <w:p>
            <w:r>
              <w:rPr>
                <w:rFonts w:ascii="Calibri" w:hAnsi="Calibri"/>
                <w:sz w:val="22"/>
              </w:rPr>
              <w:t>N/A</w:t>
            </w:r>
          </w:p>
        </w:tc>
      </w:tr>
      <w:tr>
        <w:tc>
          <w:tcPr>
            <w:tcW w:type="dxa" w:w="1234"/>
          </w:tcPr>
          <w:p>
            <w:r>
              <w:rPr>
                <w:rFonts w:ascii="Calibri" w:hAnsi="Calibri"/>
                <w:sz w:val="22"/>
              </w:rPr>
              <w:t>Las Vegas Adj. EBITDAR ($M)</w:t>
            </w:r>
          </w:p>
        </w:tc>
        <w:tc>
          <w:tcPr>
            <w:tcW w:type="dxa" w:w="1234"/>
          </w:tcPr>
          <w:p>
            <w:r>
              <w:rPr>
                <w:rFonts w:ascii="Calibri" w:hAnsi="Calibri"/>
                <w:sz w:val="22"/>
              </w:rPr>
              <w:t>$232.5</w:t>
            </w:r>
          </w:p>
        </w:tc>
        <w:tc>
          <w:tcPr>
            <w:tcW w:type="dxa" w:w="1234"/>
          </w:tcPr>
          <w:p>
            <w:r>
              <w:rPr>
                <w:rFonts w:ascii="Calibri" w:hAnsi="Calibri"/>
                <w:sz w:val="22"/>
              </w:rPr>
              <w:t>$234.8</w:t>
            </w:r>
          </w:p>
        </w:tc>
        <w:tc>
          <w:tcPr>
            <w:tcW w:type="dxa" w:w="1234"/>
          </w:tcPr>
          <w:p>
            <w:r>
              <w:rPr>
                <w:rFonts w:ascii="Calibri" w:hAnsi="Calibri"/>
                <w:sz w:val="22"/>
              </w:rPr>
              <w:t>$216.0</w:t>
            </w:r>
          </w:p>
        </w:tc>
        <w:tc>
          <w:tcPr>
            <w:tcW w:type="dxa" w:w="1234"/>
          </w:tcPr>
          <w:p>
            <w:r>
              <w:rPr>
                <w:rFonts w:ascii="Calibri" w:hAnsi="Calibri"/>
                <w:sz w:val="22"/>
              </w:rPr>
              <w:t>−8.0%</w:t>
            </w:r>
          </w:p>
        </w:tc>
        <w:tc>
          <w:tcPr>
            <w:tcW w:type="dxa" w:w="1234"/>
          </w:tcPr>
          <w:p>
            <w:r>
              <w:rPr>
                <w:rFonts w:ascii="Calibri" w:hAnsi="Calibri"/>
                <w:sz w:val="22"/>
              </w:rPr>
              <w:t>Positive tone; Encore Tower remodel (6 floors offline for 12 months) creates modest headwind</w:t>
            </w:r>
          </w:p>
        </w:tc>
        <w:tc>
          <w:tcPr>
            <w:tcW w:type="dxa" w:w="1234"/>
          </w:tcPr>
          <w:p>
            <w:r>
              <w:rPr>
                <w:rFonts w:ascii="Calibri" w:hAnsi="Calibri"/>
                <w:sz w:val="22"/>
              </w:rPr>
              <w:t>N/A</w:t>
            </w:r>
          </w:p>
        </w:tc>
      </w:tr>
      <w:tr>
        <w:tc>
          <w:tcPr>
            <w:tcW w:type="dxa" w:w="1234"/>
          </w:tcPr>
          <w:p>
            <w:r>
              <w:rPr>
                <w:rFonts w:ascii="Calibri" w:hAnsi="Calibri"/>
                <w:sz w:val="22"/>
              </w:rPr>
              <w:t>Macau Revenue ($M)</w:t>
            </w:r>
          </w:p>
        </w:tc>
        <w:tc>
          <w:tcPr>
            <w:tcW w:type="dxa" w:w="1234"/>
          </w:tcPr>
          <w:p>
            <w:r>
              <w:rPr>
                <w:rFonts w:ascii="Calibri" w:hAnsi="Calibri"/>
                <w:sz w:val="22"/>
              </w:rPr>
              <w:t>$989.2</w:t>
            </w:r>
          </w:p>
        </w:tc>
        <w:tc>
          <w:tcPr>
            <w:tcW w:type="dxa" w:w="1234"/>
          </w:tcPr>
          <w:p>
            <w:r>
              <w:rPr>
                <w:rFonts w:ascii="Calibri" w:hAnsi="Calibri"/>
                <w:sz w:val="22"/>
              </w:rPr>
              <w:t>$883.5</w:t>
            </w:r>
          </w:p>
        </w:tc>
        <w:tc>
          <w:tcPr>
            <w:tcW w:type="dxa" w:w="1234"/>
          </w:tcPr>
          <w:p>
            <w:r>
              <w:rPr>
                <w:rFonts w:ascii="Calibri" w:hAnsi="Calibri"/>
                <w:sz w:val="22"/>
              </w:rPr>
              <w:t>$984.2</w:t>
            </w:r>
          </w:p>
        </w:tc>
        <w:tc>
          <w:tcPr>
            <w:tcW w:type="dxa" w:w="1234"/>
          </w:tcPr>
          <w:p>
            <w:r>
              <w:rPr>
                <w:rFonts w:ascii="Calibri" w:hAnsi="Calibri"/>
                <w:sz w:val="22"/>
              </w:rPr>
              <w:t>+11.4%</w:t>
            </w:r>
          </w:p>
        </w:tc>
        <w:tc>
          <w:tcPr>
            <w:tcW w:type="dxa" w:w="1234"/>
          </w:tcPr>
          <w:p>
            <w:r>
              <w:rPr>
                <w:rFonts w:ascii="Calibri" w:hAnsi="Calibri"/>
                <w:sz w:val="22"/>
              </w:rPr>
              <w:t>Mass drop running ahead of prior year in April; premium demand continues to drive market</w:t>
            </w:r>
          </w:p>
        </w:tc>
        <w:tc>
          <w:tcPr>
            <w:tcW w:type="dxa" w:w="1234"/>
          </w:tcPr>
          <w:p>
            <w:r>
              <w:rPr>
                <w:rFonts w:ascii="Calibri" w:hAnsi="Calibri"/>
                <w:sz w:val="22"/>
              </w:rPr>
              <w:t>N/A</w:t>
            </w:r>
          </w:p>
        </w:tc>
      </w:tr>
      <w:tr>
        <w:tc>
          <w:tcPr>
            <w:tcW w:type="dxa" w:w="1234"/>
          </w:tcPr>
          <w:p>
            <w:r>
              <w:rPr>
                <w:rFonts w:ascii="Calibri" w:hAnsi="Calibri"/>
                <w:sz w:val="22"/>
              </w:rPr>
              <w:t>Macau Adj. EBITDAR ($M)</w:t>
            </w:r>
          </w:p>
        </w:tc>
        <w:tc>
          <w:tcPr>
            <w:tcW w:type="dxa" w:w="1234"/>
          </w:tcPr>
          <w:p>
            <w:r>
              <w:rPr>
                <w:rFonts w:ascii="Calibri" w:hAnsi="Calibri"/>
                <w:sz w:val="22"/>
              </w:rPr>
              <w:t>$279.4 (hold-adj.)</w:t>
            </w:r>
          </w:p>
        </w:tc>
        <w:tc>
          <w:tcPr>
            <w:tcW w:type="dxa" w:w="1234"/>
          </w:tcPr>
          <w:p>
            <w:r>
              <w:rPr>
                <w:rFonts w:ascii="Calibri" w:hAnsi="Calibri"/>
                <w:sz w:val="22"/>
              </w:rPr>
              <w:t>$253.7</w:t>
            </w:r>
          </w:p>
        </w:tc>
        <w:tc>
          <w:tcPr>
            <w:tcW w:type="dxa" w:w="1234"/>
          </w:tcPr>
          <w:p>
            <w:r>
              <w:rPr>
                <w:rFonts w:ascii="Calibri" w:hAnsi="Calibri"/>
                <w:sz w:val="22"/>
              </w:rPr>
              <w:t>$282.8</w:t>
            </w:r>
          </w:p>
        </w:tc>
        <w:tc>
          <w:tcPr>
            <w:tcW w:type="dxa" w:w="1234"/>
          </w:tcPr>
          <w:p>
            <w:r>
              <w:rPr>
                <w:rFonts w:ascii="Calibri" w:hAnsi="Calibri"/>
                <w:sz w:val="22"/>
              </w:rPr>
              <w:t>+11.5%</w:t>
            </w:r>
          </w:p>
        </w:tc>
        <w:tc>
          <w:tcPr>
            <w:tcW w:type="dxa" w:w="1234"/>
          </w:tcPr>
          <w:p>
            <w:r>
              <w:rPr>
                <w:rFonts w:ascii="Calibri" w:hAnsi="Calibri"/>
                <w:sz w:val="22"/>
              </w:rPr>
              <w:t>Bullish on premium segment; Chairman’s Club expansion driving hold improvement</w:t>
            </w:r>
          </w:p>
        </w:tc>
        <w:tc>
          <w:tcPr>
            <w:tcW w:type="dxa" w:w="1234"/>
          </w:tcPr>
          <w:p>
            <w:r>
              <w:rPr>
                <w:rFonts w:ascii="Calibri" w:hAnsi="Calibri"/>
                <w:sz w:val="22"/>
              </w:rPr>
              <w:t>N/A</w:t>
            </w:r>
          </w:p>
        </w:tc>
      </w:tr>
      <w:tr>
        <w:tc>
          <w:tcPr>
            <w:tcW w:type="dxa" w:w="1234"/>
          </w:tcPr>
          <w:p>
            <w:r>
              <w:rPr>
                <w:rFonts w:ascii="Calibri" w:hAnsi="Calibri"/>
                <w:sz w:val="22"/>
              </w:rPr>
              <w:t>Las Vegas ADR ($)</w:t>
            </w:r>
          </w:p>
        </w:tc>
        <w:tc>
          <w:tcPr>
            <w:tcW w:type="dxa" w:w="1234"/>
          </w:tcPr>
          <w:p>
            <w:r>
              <w:rPr>
                <w:rFonts w:ascii="Calibri" w:hAnsi="Calibri"/>
                <w:sz w:val="22"/>
              </w:rPr>
              <w:t>$592</w:t>
            </w:r>
          </w:p>
        </w:tc>
        <w:tc>
          <w:tcPr>
            <w:tcW w:type="dxa" w:w="1234"/>
          </w:tcPr>
          <w:p>
            <w:r>
              <w:rPr>
                <w:rFonts w:ascii="Calibri" w:hAnsi="Calibri"/>
                <w:sz w:val="22"/>
              </w:rPr>
              <w:t>$548</w:t>
            </w:r>
          </w:p>
        </w:tc>
        <w:tc>
          <w:tcPr>
            <w:tcW w:type="dxa" w:w="1234"/>
          </w:tcPr>
          <w:p>
            <w:r>
              <w:rPr>
                <w:rFonts w:ascii="Calibri" w:hAnsi="Calibri"/>
                <w:sz w:val="22"/>
              </w:rPr>
              <w:t>$560</w:t>
            </w:r>
          </w:p>
        </w:tc>
        <w:tc>
          <w:tcPr>
            <w:tcW w:type="dxa" w:w="1234"/>
          </w:tcPr>
          <w:p>
            <w:r>
              <w:rPr>
                <w:rFonts w:ascii="Calibri" w:hAnsi="Calibri"/>
                <w:sz w:val="22"/>
              </w:rPr>
              <w:t>+2.2%</w:t>
            </w:r>
          </w:p>
        </w:tc>
        <w:tc>
          <w:tcPr>
            <w:tcW w:type="dxa" w:w="1234"/>
          </w:tcPr>
          <w:p>
            <w:r>
              <w:rPr>
                <w:rFonts w:ascii="Calibri" w:hAnsi="Calibri"/>
                <w:sz w:val="22"/>
              </w:rPr>
              <w:t>ADR up YoY in April; managing rate &amp; occupancy to deliver EBITDA</w:t>
            </w:r>
          </w:p>
        </w:tc>
        <w:tc>
          <w:tcPr>
            <w:tcW w:type="dxa" w:w="1234"/>
          </w:tcPr>
          <w:p>
            <w:r>
              <w:rPr>
                <w:rFonts w:ascii="Calibri" w:hAnsi="Calibri"/>
                <w:sz w:val="22"/>
              </w:rPr>
              <w:t>N/A</w:t>
            </w:r>
          </w:p>
        </w:tc>
      </w:tr>
      <w:tr>
        <w:tc>
          <w:tcPr>
            <w:tcW w:type="dxa" w:w="1234"/>
          </w:tcPr>
          <w:p>
            <w:r>
              <w:rPr>
                <w:rFonts w:ascii="Calibri" w:hAnsi="Calibri"/>
                <w:sz w:val="22"/>
              </w:rPr>
              <w:t>Las Vegas RevPAR ($)</w:t>
            </w:r>
          </w:p>
        </w:tc>
        <w:tc>
          <w:tcPr>
            <w:tcW w:type="dxa" w:w="1234"/>
          </w:tcPr>
          <w:p>
            <w:r>
              <w:rPr>
                <w:rFonts w:ascii="Calibri" w:hAnsi="Calibri"/>
                <w:sz w:val="22"/>
              </w:rPr>
              <w:t>$506.2</w:t>
            </w:r>
          </w:p>
        </w:tc>
        <w:tc>
          <w:tcPr>
            <w:tcW w:type="dxa" w:w="1234"/>
          </w:tcPr>
          <w:p>
            <w:r>
              <w:rPr>
                <w:rFonts w:ascii="Calibri" w:hAnsi="Calibri"/>
                <w:sz w:val="22"/>
              </w:rPr>
              <w:t>$488.8</w:t>
            </w:r>
          </w:p>
        </w:tc>
        <w:tc>
          <w:tcPr>
            <w:tcW w:type="dxa" w:w="1234"/>
          </w:tcPr>
          <w:p>
            <w:r>
              <w:rPr>
                <w:rFonts w:ascii="Calibri" w:hAnsi="Calibri"/>
                <w:sz w:val="22"/>
              </w:rPr>
              <w:t>$488.6</w:t>
            </w:r>
          </w:p>
        </w:tc>
        <w:tc>
          <w:tcPr>
            <w:tcW w:type="dxa" w:w="1234"/>
          </w:tcPr>
          <w:p>
            <w:r>
              <w:rPr>
                <w:rFonts w:ascii="Calibri" w:hAnsi="Calibri"/>
                <w:sz w:val="22"/>
              </w:rPr>
              <w:t>0.0%</w:t>
            </w:r>
          </w:p>
        </w:tc>
        <w:tc>
          <w:tcPr>
            <w:tcW w:type="dxa" w:w="1234"/>
          </w:tcPr>
          <w:p>
            <w:r>
              <w:rPr>
                <w:rFonts w:ascii="Calibri" w:hAnsi="Calibri"/>
                <w:sz w:val="22"/>
              </w:rPr>
              <w:t>Encore Tower remodel (6 floors offline) creates modest RevPAR headwind in Q2–Q3</w:t>
            </w:r>
          </w:p>
        </w:tc>
        <w:tc>
          <w:tcPr>
            <w:tcW w:type="dxa" w:w="1234"/>
          </w:tcPr>
          <w:p>
            <w:r>
              <w:rPr>
                <w:rFonts w:ascii="Calibri" w:hAnsi="Calibri"/>
                <w:sz w:val="22"/>
              </w:rPr>
              <w:t>N/A</w:t>
            </w:r>
          </w:p>
        </w:tc>
      </w:tr>
      <w:tr>
        <w:tc>
          <w:tcPr>
            <w:tcW w:type="dxa" w:w="1234"/>
          </w:tcPr>
          <w:p>
            <w:r>
              <w:rPr>
                <w:rFonts w:ascii="Calibri" w:hAnsi="Calibri"/>
                <w:sz w:val="22"/>
              </w:rPr>
              <w:t>Las Vegas Occupancy (%)</w:t>
            </w:r>
          </w:p>
        </w:tc>
        <w:tc>
          <w:tcPr>
            <w:tcW w:type="dxa" w:w="1234"/>
          </w:tcPr>
          <w:p>
            <w:r>
              <w:rPr>
                <w:rFonts w:ascii="Calibri" w:hAnsi="Calibri"/>
                <w:sz w:val="22"/>
              </w:rPr>
              <w:t>85.5%</w:t>
            </w:r>
          </w:p>
        </w:tc>
        <w:tc>
          <w:tcPr>
            <w:tcW w:type="dxa" w:w="1234"/>
          </w:tcPr>
          <w:p>
            <w:r>
              <w:rPr>
                <w:rFonts w:ascii="Calibri" w:hAnsi="Calibri"/>
                <w:sz w:val="22"/>
              </w:rPr>
              <w:t>89.2%</w:t>
            </w:r>
          </w:p>
        </w:tc>
        <w:tc>
          <w:tcPr>
            <w:tcW w:type="dxa" w:w="1234"/>
          </w:tcPr>
          <w:p>
            <w:r>
              <w:rPr>
                <w:rFonts w:ascii="Calibri" w:hAnsi="Calibri"/>
                <w:sz w:val="22"/>
              </w:rPr>
              <w:t>87.2%</w:t>
            </w:r>
          </w:p>
        </w:tc>
        <w:tc>
          <w:tcPr>
            <w:tcW w:type="dxa" w:w="1234"/>
          </w:tcPr>
          <w:p>
            <w:r>
              <w:rPr>
                <w:rFonts w:ascii="Calibri" w:hAnsi="Calibri"/>
                <w:sz w:val="22"/>
              </w:rPr>
              <w:t>−2.0 pp</w:t>
            </w:r>
          </w:p>
        </w:tc>
        <w:tc>
          <w:tcPr>
            <w:tcW w:type="dxa" w:w="1234"/>
          </w:tcPr>
          <w:p>
            <w:r>
              <w:rPr>
                <w:rFonts w:ascii="Calibri" w:hAnsi="Calibri"/>
                <w:sz w:val="22"/>
              </w:rPr>
              <w:t>Encore Tower remodel reduces available inventory; managing occupancy with rate</w:t>
            </w:r>
          </w:p>
        </w:tc>
        <w:tc>
          <w:tcPr>
            <w:tcW w:type="dxa" w:w="1234"/>
          </w:tcPr>
          <w:p>
            <w:r>
              <w:rPr>
                <w:rFonts w:ascii="Calibri" w:hAnsi="Calibri"/>
                <w:sz w:val="22"/>
              </w:rPr>
              <w:t>N/A</w:t>
            </w:r>
          </w:p>
        </w:tc>
      </w:tr>
    </w:tbl>
    <w:p>
      <w:r>
        <w:rPr>
          <w:rFonts w:ascii="Calibri" w:hAnsi="Calibri"/>
          <w:i/>
          <w:color w:val="525866"/>
          <w:sz w:val="22"/>
        </w:rPr>
        <w:t>Sources: Visible Alpha Consensus and Actuals Data. All consensus figures as of August 3, 2026. Q1 2026 actuals from Visible Alpha. Hold-adjusted Macau EBITDAR from Q1 2026 earnings call transcript.</w:t>
      </w:r>
    </w:p>
    <w:p>
      <w:pPr>
        <w:pStyle w:val="Heading2"/>
      </w:pPr>
      <w:r>
        <w:rPr>
          <w:rFonts w:ascii="Calibri" w:hAnsi="Calibri"/>
          <w:b/>
          <w:color w:val="3B4259"/>
          <w:sz w:val="28"/>
        </w:rPr>
        <w:t>Table 2 — Beat/Miss History (Last 8 Quarters — Top 2 KPIs)</w:t>
      </w:r>
    </w:p>
    <w:p>
      <w:pPr>
        <w:pStyle w:val="Heading3"/>
      </w:pPr>
      <w:r>
        <w:rPr>
          <w:rFonts w:ascii="Calibri" w:hAnsi="Calibri"/>
          <w:b/>
          <w:color w:val="3B4259"/>
          <w:sz w:val="24"/>
        </w:rPr>
        <w:t>Adjusted Property EBITDAR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$571.7</w:t>
            </w:r>
          </w:p>
        </w:tc>
        <w:tc>
          <w:tcPr>
            <w:tcW w:type="dxa" w:w="1728"/>
          </w:tcPr>
          <w:p>
            <w:r>
              <w:rPr>
                <w:rFonts w:ascii="Calibri" w:hAnsi="Calibri"/>
                <w:sz w:val="22"/>
              </w:rPr>
              <w:t>$574.7</w:t>
            </w:r>
          </w:p>
        </w:tc>
        <w:tc>
          <w:tcPr>
            <w:tcW w:type="dxa" w:w="1728"/>
          </w:tcPr>
          <w:p>
            <w:r>
              <w:rPr>
                <w:rFonts w:ascii="Calibri" w:hAnsi="Calibri"/>
                <w:sz w:val="22"/>
              </w:rPr>
              <w:t>−0.5%</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$527.7</w:t>
            </w:r>
          </w:p>
        </w:tc>
        <w:tc>
          <w:tcPr>
            <w:tcW w:type="dxa" w:w="1728"/>
          </w:tcPr>
          <w:p>
            <w:r>
              <w:rPr>
                <w:rFonts w:ascii="Calibri" w:hAnsi="Calibri"/>
                <w:sz w:val="22"/>
              </w:rPr>
              <w:t>$552.5</w:t>
            </w:r>
          </w:p>
        </w:tc>
        <w:tc>
          <w:tcPr>
            <w:tcW w:type="dxa" w:w="1728"/>
          </w:tcPr>
          <w:p>
            <w:r>
              <w:rPr>
                <w:rFonts w:ascii="Calibri" w:hAnsi="Calibri"/>
                <w:sz w:val="22"/>
              </w:rPr>
              <w:t>−4.5%</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$619.1</w:t>
            </w:r>
          </w:p>
        </w:tc>
        <w:tc>
          <w:tcPr>
            <w:tcW w:type="dxa" w:w="1728"/>
          </w:tcPr>
          <w:p>
            <w:r>
              <w:rPr>
                <w:rFonts w:ascii="Calibri" w:hAnsi="Calibri"/>
                <w:sz w:val="22"/>
              </w:rPr>
              <w:t>$570.7</w:t>
            </w:r>
          </w:p>
        </w:tc>
        <w:tc>
          <w:tcPr>
            <w:tcW w:type="dxa" w:w="1728"/>
          </w:tcPr>
          <w:p>
            <w:r>
              <w:rPr>
                <w:rFonts w:ascii="Calibri" w:hAnsi="Calibri"/>
                <w:sz w:val="22"/>
              </w:rPr>
              <w:t>+8.5%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$532.9</w:t>
            </w:r>
          </w:p>
        </w:tc>
        <w:tc>
          <w:tcPr>
            <w:tcW w:type="dxa" w:w="1728"/>
          </w:tcPr>
          <w:p>
            <w:r>
              <w:rPr>
                <w:rFonts w:ascii="Calibri" w:hAnsi="Calibri"/>
                <w:sz w:val="22"/>
              </w:rPr>
              <w:t>$563.0</w:t>
            </w:r>
          </w:p>
        </w:tc>
        <w:tc>
          <w:tcPr>
            <w:tcW w:type="dxa" w:w="1728"/>
          </w:tcPr>
          <w:p>
            <w:r>
              <w:rPr>
                <w:rFonts w:ascii="Calibri" w:hAnsi="Calibri"/>
                <w:sz w:val="22"/>
              </w:rPr>
              <w:t>−5.3%</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$552.4</w:t>
            </w:r>
          </w:p>
        </w:tc>
        <w:tc>
          <w:tcPr>
            <w:tcW w:type="dxa" w:w="1728"/>
          </w:tcPr>
          <w:p>
            <w:r>
              <w:rPr>
                <w:rFonts w:ascii="Calibri" w:hAnsi="Calibri"/>
                <w:sz w:val="22"/>
              </w:rPr>
              <w:t>$553.1</w:t>
            </w:r>
          </w:p>
        </w:tc>
        <w:tc>
          <w:tcPr>
            <w:tcW w:type="dxa" w:w="1728"/>
          </w:tcPr>
          <w:p>
            <w:r>
              <w:rPr>
                <w:rFonts w:ascii="Calibri" w:hAnsi="Calibri"/>
                <w:sz w:val="22"/>
              </w:rPr>
              <w:t>−0.1%</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$570.1</w:t>
            </w:r>
          </w:p>
        </w:tc>
        <w:tc>
          <w:tcPr>
            <w:tcW w:type="dxa" w:w="1728"/>
          </w:tcPr>
          <w:p>
            <w:r>
              <w:rPr>
                <w:rFonts w:ascii="Calibri" w:hAnsi="Calibri"/>
                <w:sz w:val="22"/>
              </w:rPr>
              <w:t>$545.8</w:t>
            </w:r>
          </w:p>
        </w:tc>
        <w:tc>
          <w:tcPr>
            <w:tcW w:type="dxa" w:w="1728"/>
          </w:tcPr>
          <w:p>
            <w:r>
              <w:rPr>
                <w:rFonts w:ascii="Calibri" w:hAnsi="Calibri"/>
                <w:sz w:val="22"/>
              </w:rPr>
              <w:t>+4.5%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$568.8</w:t>
            </w:r>
          </w:p>
        </w:tc>
        <w:tc>
          <w:tcPr>
            <w:tcW w:type="dxa" w:w="1728"/>
          </w:tcPr>
          <w:p>
            <w:r>
              <w:rPr>
                <w:rFonts w:ascii="Calibri" w:hAnsi="Calibri"/>
                <w:sz w:val="22"/>
              </w:rPr>
              <w:t>$587.2</w:t>
            </w:r>
          </w:p>
        </w:tc>
        <w:tc>
          <w:tcPr>
            <w:tcW w:type="dxa" w:w="1728"/>
          </w:tcPr>
          <w:p>
            <w:r>
              <w:rPr>
                <w:rFonts w:ascii="Calibri" w:hAnsi="Calibri"/>
                <w:sz w:val="22"/>
              </w:rPr>
              <w:t>−3.1%</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$562.4</w:t>
            </w:r>
          </w:p>
        </w:tc>
        <w:tc>
          <w:tcPr>
            <w:tcW w:type="dxa" w:w="1728"/>
          </w:tcPr>
          <w:p>
            <w:r>
              <w:rPr>
                <w:rFonts w:ascii="Calibri" w:hAnsi="Calibri"/>
                <w:sz w:val="22"/>
              </w:rPr>
              <w:t>$565.4</w:t>
            </w:r>
          </w:p>
        </w:tc>
        <w:tc>
          <w:tcPr>
            <w:tcW w:type="dxa" w:w="1728"/>
          </w:tcPr>
          <w:p>
            <w:r>
              <w:rPr>
                <w:rFonts w:ascii="Calibri" w:hAnsi="Calibri"/>
                <w:sz w:val="22"/>
              </w:rPr>
              <w:t>−0.5%</w:t>
            </w:r>
          </w:p>
        </w:tc>
        <w:tc>
          <w:tcPr>
            <w:tcW w:type="dxa" w:w="1728"/>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WYNN has missed on Adjusted Property EBITDAR in 6 of the last 8 quarters, with misses driven primarily by VIP hold volatility in Macau and above-guided OpEx per day — the bar on EBITDAR is structurally difficult to clear given hold unpredictability.</w:t>
      </w:r>
    </w:p>
    <w:p>
      <w:pPr>
        <w:pStyle w:val="Heading3"/>
      </w:pPr>
      <w:r>
        <w:rPr>
          <w:rFonts w:ascii="Calibri" w:hAnsi="Calibri"/>
          <w:b/>
          <w:color w:val="3B4259"/>
          <w:sz w:val="24"/>
        </w:rPr>
        <w:t>EPS — Diluted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$1.12</w:t>
            </w:r>
          </w:p>
        </w:tc>
        <w:tc>
          <w:tcPr>
            <w:tcW w:type="dxa" w:w="1728"/>
          </w:tcPr>
          <w:p>
            <w:r>
              <w:rPr>
                <w:rFonts w:ascii="Calibri" w:hAnsi="Calibri"/>
                <w:sz w:val="22"/>
              </w:rPr>
              <w:t>$1.20</w:t>
            </w:r>
          </w:p>
        </w:tc>
        <w:tc>
          <w:tcPr>
            <w:tcW w:type="dxa" w:w="1728"/>
          </w:tcPr>
          <w:p>
            <w:r>
              <w:rPr>
                <w:rFonts w:ascii="Calibri" w:hAnsi="Calibri"/>
                <w:sz w:val="22"/>
              </w:rPr>
              <w:t>−6.7%</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$0.90</w:t>
            </w:r>
          </w:p>
        </w:tc>
        <w:tc>
          <w:tcPr>
            <w:tcW w:type="dxa" w:w="1728"/>
          </w:tcPr>
          <w:p>
            <w:r>
              <w:rPr>
                <w:rFonts w:ascii="Calibri" w:hAnsi="Calibri"/>
                <w:sz w:val="22"/>
              </w:rPr>
              <w:t>$1.09</w:t>
            </w:r>
          </w:p>
        </w:tc>
        <w:tc>
          <w:tcPr>
            <w:tcW w:type="dxa" w:w="1728"/>
          </w:tcPr>
          <w:p>
            <w:r>
              <w:rPr>
                <w:rFonts w:ascii="Calibri" w:hAnsi="Calibri"/>
                <w:sz w:val="22"/>
              </w:rPr>
              <w:t>−17.4%</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$2.42</w:t>
            </w:r>
          </w:p>
        </w:tc>
        <w:tc>
          <w:tcPr>
            <w:tcW w:type="dxa" w:w="1728"/>
          </w:tcPr>
          <w:p>
            <w:r>
              <w:rPr>
                <w:rFonts w:ascii="Calibri" w:hAnsi="Calibri"/>
                <w:sz w:val="22"/>
              </w:rPr>
              <w:t>$1.34</w:t>
            </w:r>
          </w:p>
        </w:tc>
        <w:tc>
          <w:tcPr>
            <w:tcW w:type="dxa" w:w="1728"/>
          </w:tcPr>
          <w:p>
            <w:r>
              <w:rPr>
                <w:rFonts w:ascii="Calibri" w:hAnsi="Calibri"/>
                <w:sz w:val="22"/>
              </w:rPr>
              <w:t>+80.6%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$1.07</w:t>
            </w:r>
          </w:p>
        </w:tc>
        <w:tc>
          <w:tcPr>
            <w:tcW w:type="dxa" w:w="1728"/>
          </w:tcPr>
          <w:p>
            <w:r>
              <w:rPr>
                <w:rFonts w:ascii="Calibri" w:hAnsi="Calibri"/>
                <w:sz w:val="22"/>
              </w:rPr>
              <w:t>$1.26</w:t>
            </w:r>
          </w:p>
        </w:tc>
        <w:tc>
          <w:tcPr>
            <w:tcW w:type="dxa" w:w="1728"/>
          </w:tcPr>
          <w:p>
            <w:r>
              <w:rPr>
                <w:rFonts w:ascii="Calibri" w:hAnsi="Calibri"/>
                <w:sz w:val="22"/>
              </w:rPr>
              <w:t>−15.1%</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$1.09</w:t>
            </w:r>
          </w:p>
        </w:tc>
        <w:tc>
          <w:tcPr>
            <w:tcW w:type="dxa" w:w="1728"/>
          </w:tcPr>
          <w:p>
            <w:r>
              <w:rPr>
                <w:rFonts w:ascii="Calibri" w:hAnsi="Calibri"/>
                <w:sz w:val="22"/>
              </w:rPr>
              <w:t>$1.28</w:t>
            </w:r>
          </w:p>
        </w:tc>
        <w:tc>
          <w:tcPr>
            <w:tcW w:type="dxa" w:w="1728"/>
          </w:tcPr>
          <w:p>
            <w:r>
              <w:rPr>
                <w:rFonts w:ascii="Calibri" w:hAnsi="Calibri"/>
                <w:sz w:val="22"/>
              </w:rPr>
              <w:t>−14.8%</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$0.86</w:t>
            </w:r>
          </w:p>
        </w:tc>
        <w:tc>
          <w:tcPr>
            <w:tcW w:type="dxa" w:w="1728"/>
          </w:tcPr>
          <w:p>
            <w:r>
              <w:rPr>
                <w:rFonts w:ascii="Calibri" w:hAnsi="Calibri"/>
                <w:sz w:val="22"/>
              </w:rPr>
              <w:t>$1.21</w:t>
            </w:r>
          </w:p>
        </w:tc>
        <w:tc>
          <w:tcPr>
            <w:tcW w:type="dxa" w:w="1728"/>
          </w:tcPr>
          <w:p>
            <w:r>
              <w:rPr>
                <w:rFonts w:ascii="Calibri" w:hAnsi="Calibri"/>
                <w:sz w:val="22"/>
              </w:rPr>
              <w:t>−28.9%</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$1.17</w:t>
            </w:r>
          </w:p>
        </w:tc>
        <w:tc>
          <w:tcPr>
            <w:tcW w:type="dxa" w:w="1728"/>
          </w:tcPr>
          <w:p>
            <w:r>
              <w:rPr>
                <w:rFonts w:ascii="Calibri" w:hAnsi="Calibri"/>
                <w:sz w:val="22"/>
              </w:rPr>
              <w:t>$1.49</w:t>
            </w:r>
          </w:p>
        </w:tc>
        <w:tc>
          <w:tcPr>
            <w:tcW w:type="dxa" w:w="1728"/>
          </w:tcPr>
          <w:p>
            <w:r>
              <w:rPr>
                <w:rFonts w:ascii="Calibri" w:hAnsi="Calibri"/>
                <w:sz w:val="22"/>
              </w:rPr>
              <w:t>−21.5%</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$1.25</w:t>
            </w:r>
          </w:p>
        </w:tc>
        <w:tc>
          <w:tcPr>
            <w:tcW w:type="dxa" w:w="1728"/>
          </w:tcPr>
          <w:p>
            <w:r>
              <w:rPr>
                <w:rFonts w:ascii="Calibri" w:hAnsi="Calibri"/>
                <w:sz w:val="22"/>
              </w:rPr>
              <w:t>$1.23</w:t>
            </w:r>
          </w:p>
        </w:tc>
        <w:tc>
          <w:tcPr>
            <w:tcW w:type="dxa" w:w="1728"/>
          </w:tcPr>
          <w:p>
            <w:r>
              <w:rPr>
                <w:rFonts w:ascii="Calibri" w:hAnsi="Calibri"/>
                <w:sz w:val="22"/>
              </w:rPr>
              <w:t>+1.6%</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WYNN has missed on operating EPS in 6 of the last 8 quarters, with large misses driven by VIP hold shortfalls and elevated OpEx; Q1 2026 was the first EPS beat in five quarters, reversing a persistent pattern of negative surprises. The Q2 2026 consensus EPS of $1.09 is flat with the prior year period, setting a low bar.</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tone on the Q1 call was constructive across all three operating segments, but the </w:t>
      </w:r>
      <w:r>
        <w:rPr>
          <w:rFonts w:ascii="Calibri" w:hAnsi="Calibri"/>
          <w:b/>
          <w:color w:val="525866"/>
          <w:sz w:val="22"/>
        </w:rPr>
        <w:t>UAE opening delay</w:t>
      </w:r>
      <w:r>
        <w:rPr>
          <w:rFonts w:ascii="Calibri" w:hAnsi="Calibri"/>
          <w:color w:val="525866"/>
          <w:sz w:val="22"/>
        </w:rPr>
        <w:t xml:space="preserve"> (to be quantified) and </w:t>
      </w:r>
      <w:r>
        <w:rPr>
          <w:rFonts w:ascii="Calibri" w:hAnsi="Calibri"/>
          <w:b/>
          <w:color w:val="525866"/>
          <w:sz w:val="22"/>
        </w:rPr>
        <w:t>above-guided OpEx per day</w:t>
      </w:r>
      <w:r>
        <w:rPr>
          <w:rFonts w:ascii="Calibri" w:hAnsi="Calibri"/>
          <w:color w:val="525866"/>
          <w:sz w:val="22"/>
        </w:rPr>
        <w:t xml:space="preserve"> in Q1 introduced new cost headwinds; no formal guidance revisions have been issued since the May 7 earnings call.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Las Vegas OpEx/Day (ex-gaming tax)</w:t>
            </w:r>
          </w:p>
        </w:tc>
        <w:tc>
          <w:tcPr>
            <w:tcW w:type="dxa" w:w="1728"/>
          </w:tcPr>
          <w:p>
            <w:r>
              <w:rPr>
                <w:rFonts w:ascii="Calibri" w:hAnsi="Calibri"/>
                <w:sz w:val="22"/>
              </w:rPr>
              <w:t>$4.3M–$4.5M (Q1 came in at $4.55M, slightly above range; wage increases and F&amp;B COGS pressure flagged)</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No post-earnings revision; Q1 overage signals upside risk to Q2 OpEx; Encore Tower remodel adds incremental cost</w:t>
            </w:r>
          </w:p>
        </w:tc>
      </w:tr>
      <w:tr>
        <w:tc>
          <w:tcPr>
            <w:tcW w:type="dxa" w:w="1728"/>
          </w:tcPr>
          <w:p>
            <w:r>
              <w:rPr>
                <w:rFonts w:ascii="Calibri" w:hAnsi="Calibri"/>
                <w:sz w:val="22"/>
              </w:rPr>
              <w:t>2026 Expansionary CapEx (Macau incl. Enclave)</w:t>
            </w:r>
          </w:p>
        </w:tc>
        <w:tc>
          <w:tcPr>
            <w:tcW w:type="dxa" w:w="1728"/>
          </w:tcPr>
          <w:p>
            <w:r>
              <w:rPr>
                <w:rFonts w:ascii="Calibri" w:hAnsi="Calibri"/>
                <w:sz w:val="22"/>
              </w:rPr>
              <w:t>$400M–$450M</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Macau land concession amendment (July 22, 2026) adds ~$80.8M one-time land premium for Enclave</w:t>
            </w:r>
          </w:p>
        </w:tc>
      </w:tr>
      <w:tr>
        <w:tc>
          <w:tcPr>
            <w:tcW w:type="dxa" w:w="1728"/>
          </w:tcPr>
          <w:p>
            <w:r>
              <w:rPr>
                <w:rFonts w:ascii="Calibri" w:hAnsi="Calibri"/>
                <w:sz w:val="22"/>
              </w:rPr>
              <w:t>UAE Opening Timeline</w:t>
            </w:r>
          </w:p>
        </w:tc>
        <w:tc>
          <w:tcPr>
            <w:tcW w:type="dxa" w:w="1728"/>
          </w:tcPr>
          <w:p>
            <w:r>
              <w:rPr>
                <w:rFonts w:ascii="Calibri" w:hAnsi="Calibri"/>
                <w:sz w:val="22"/>
              </w:rPr>
              <w:t>2027 opening maintained; “modest delay” expected due to regional conflict logistics; to be quantified in coming months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formal revision; market awaiting quantification of delay; management conviction unchanged; remaining equity contribution ~$350M–$450M</w:t>
            </w:r>
          </w:p>
        </w:tc>
      </w:tr>
      <w:tr>
        <w:tc>
          <w:tcPr>
            <w:tcW w:type="dxa" w:w="1728"/>
          </w:tcPr>
          <w:p>
            <w:r>
              <w:rPr>
                <w:rFonts w:ascii="Calibri" w:hAnsi="Calibri"/>
                <w:sz w:val="22"/>
              </w:rPr>
              <w:t>UAE Remaining Equity Contribution (incl. Janu)</w:t>
            </w:r>
          </w:p>
        </w:tc>
        <w:tc>
          <w:tcPr>
            <w:tcW w:type="dxa" w:w="1728"/>
          </w:tcPr>
          <w:p>
            <w:r>
              <w:rPr>
                <w:rFonts w:ascii="Calibri" w:hAnsi="Calibri"/>
                <w:sz w:val="22"/>
              </w:rPr>
              <w:t>~$350M–$450M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Janu pilings commenced; construction loan drawn to $962.3M</w:t>
            </w:r>
          </w:p>
        </w:tc>
      </w:tr>
      <w:tr>
        <w:tc>
          <w:tcPr>
            <w:tcW w:type="dxa" w:w="1728"/>
          </w:tcPr>
          <w:p>
            <w:r>
              <w:rPr>
                <w:rFonts w:ascii="Calibri" w:hAnsi="Calibri"/>
                <w:sz w:val="22"/>
              </w:rPr>
              <w:t>Las Vegas Business Outlook</w:t>
            </w:r>
          </w:p>
        </w:tc>
        <w:tc>
          <w:tcPr>
            <w:tcW w:type="dxa" w:w="1728"/>
          </w:tcPr>
          <w:p>
            <w:r>
              <w:rPr>
                <w:rFonts w:ascii="Calibri" w:hAnsi="Calibri"/>
                <w:sz w:val="22"/>
              </w:rPr>
              <w:t>Positive for remainder of 2026; group business on pace to grow room nights and rate above 2025; ADR up YoY in April; drop &amp; handle up YoY in April</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Encore Tower remodel (6 floors offline, 12-month project) creates modest RevPAR headwind; management managing rate + occupancy to maximize EBITDA</w:t>
            </w:r>
          </w:p>
        </w:tc>
      </w:tr>
      <w:tr>
        <w:tc>
          <w:tcPr>
            <w:tcW w:type="dxa" w:w="1728"/>
          </w:tcPr>
          <w:p>
            <w:r>
              <w:rPr>
                <w:rFonts w:ascii="Calibri" w:hAnsi="Calibri"/>
                <w:sz w:val="22"/>
              </w:rPr>
              <w:t>Macau Business Outlook</w:t>
            </w:r>
          </w:p>
        </w:tc>
        <w:tc>
          <w:tcPr>
            <w:tcW w:type="dxa" w:w="1728"/>
          </w:tcPr>
          <w:p>
            <w:r>
              <w:rPr>
                <w:rFonts w:ascii="Calibri" w:hAnsi="Calibri"/>
                <w:sz w:val="22"/>
              </w:rPr>
              <w:t>Very bullish; mass drop running ahead of prior year in April; Chairman’s Club expansion driving hold improvement; premium demand continues to lead market</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World Cup (June) flagged by peers (LVS, MGM) as a meaningful headwind to June volumes; July recovery noted by peers</w:t>
            </w:r>
          </w:p>
        </w:tc>
      </w:tr>
      <w:tr>
        <w:tc>
          <w:tcPr>
            <w:tcW w:type="dxa" w:w="1728"/>
          </w:tcPr>
          <w:p>
            <w:r>
              <w:rPr>
                <w:rFonts w:ascii="Calibri" w:hAnsi="Calibri"/>
                <w:sz w:val="22"/>
              </w:rPr>
              <w:t>Wynn Macau Dividend (2025 Final)</w:t>
            </w:r>
          </w:p>
        </w:tc>
        <w:tc>
          <w:tcPr>
            <w:tcW w:type="dxa" w:w="1728"/>
          </w:tcPr>
          <w:p>
            <w:r>
              <w:rPr>
                <w:rFonts w:ascii="Calibri" w:hAnsi="Calibri"/>
                <w:sz w:val="22"/>
              </w:rPr>
              <w:t>$150M recommended (up from $125M prior period); subject to shareholder approval May 28,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Signals increased confidence in Macau cash generation; approved at May 28 AGM</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have drifted </w:t>
      </w:r>
      <w:r>
        <w:rPr>
          <w:rFonts w:ascii="Calibri" w:hAnsi="Calibri"/>
          <w:b/>
          <w:color w:val="525866"/>
          <w:sz w:val="22"/>
        </w:rPr>
        <w:t>modestly lower</w:t>
      </w:r>
      <w:r>
        <w:rPr>
          <w:rFonts w:ascii="Calibri" w:hAnsi="Calibri"/>
          <w:color w:val="525866"/>
          <w:sz w:val="22"/>
        </w:rPr>
        <w:t xml:space="preserve"> since the Q1 print, with EBITDAR and EPS both revised down — the gap between current consensus and the post-Q1 baseline represents a </w:t>
      </w:r>
      <w:r>
        <w:rPr>
          <w:rFonts w:ascii="Calibri" w:hAnsi="Calibri"/>
          <w:b/>
          <w:color w:val="525866"/>
          <w:sz w:val="22"/>
        </w:rPr>
        <w:t>cushion rather than a risk</w:t>
      </w:r>
      <w:r>
        <w:rPr>
          <w:rFonts w:ascii="Calibri" w:hAnsi="Calibri"/>
          <w:color w:val="525866"/>
          <w:sz w:val="22"/>
        </w:rPr>
        <w:t xml:space="preserve"> if underlying volumes hold, but VIP hold normalization is the key variable.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12,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Revenues — Q2 2026</w:t>
            </w:r>
          </w:p>
        </w:tc>
        <w:tc>
          <w:tcPr>
            <w:tcW w:type="dxa" w:w="1080"/>
          </w:tcPr>
          <w:p>
            <w:r>
              <w:rPr>
                <w:rFonts w:ascii="Calibri" w:hAnsi="Calibri"/>
                <w:sz w:val="22"/>
              </w:rPr>
              <w:t>$1,842.4M</w:t>
            </w:r>
          </w:p>
        </w:tc>
        <w:tc>
          <w:tcPr>
            <w:tcW w:type="dxa" w:w="1080"/>
          </w:tcPr>
          <w:p>
            <w:r>
              <w:rPr>
                <w:rFonts w:ascii="Calibri" w:hAnsi="Calibri"/>
                <w:sz w:val="22"/>
              </w:rPr>
              <w:t>$1,830.9M</w:t>
            </w:r>
          </w:p>
        </w:tc>
        <w:tc>
          <w:tcPr>
            <w:tcW w:type="dxa" w:w="1080"/>
          </w:tcPr>
          <w:p>
            <w:r>
              <w:rPr>
                <w:rFonts w:ascii="Calibri" w:hAnsi="Calibri"/>
                <w:sz w:val="22"/>
              </w:rPr>
              <w:t>−0.6%</w:t>
            </w:r>
          </w:p>
        </w:tc>
        <w:tc>
          <w:tcPr>
            <w:tcW w:type="dxa" w:w="1080"/>
          </w:tcPr>
          <w:p>
            <w:r>
              <w:rPr>
                <w:rFonts w:ascii="Calibri" w:hAnsi="Calibri"/>
                <w:sz w:val="22"/>
              </w:rPr>
              <w:t>No specific Q2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Property EBITDAR — Q2 2026</w:t>
            </w:r>
          </w:p>
        </w:tc>
        <w:tc>
          <w:tcPr>
            <w:tcW w:type="dxa" w:w="1080"/>
          </w:tcPr>
          <w:p>
            <w:r>
              <w:rPr>
                <w:rFonts w:ascii="Calibri" w:hAnsi="Calibri"/>
                <w:sz w:val="22"/>
              </w:rPr>
              <w:t>$564.8M</w:t>
            </w:r>
          </w:p>
        </w:tc>
        <w:tc>
          <w:tcPr>
            <w:tcW w:type="dxa" w:w="1080"/>
          </w:tcPr>
          <w:p>
            <w:r>
              <w:rPr>
                <w:rFonts w:ascii="Calibri" w:hAnsi="Calibri"/>
                <w:sz w:val="22"/>
              </w:rPr>
              <w:t>$554.2M</w:t>
            </w:r>
          </w:p>
        </w:tc>
        <w:tc>
          <w:tcPr>
            <w:tcW w:type="dxa" w:w="1080"/>
          </w:tcPr>
          <w:p>
            <w:r>
              <w:rPr>
                <w:rFonts w:ascii="Calibri" w:hAnsi="Calibri"/>
                <w:sz w:val="22"/>
              </w:rPr>
              <w:t>−1.9%</w:t>
            </w:r>
          </w:p>
        </w:tc>
        <w:tc>
          <w:tcPr>
            <w:tcW w:type="dxa" w:w="1080"/>
          </w:tcPr>
          <w:p>
            <w:r>
              <w:rPr>
                <w:rFonts w:ascii="Calibri" w:hAnsi="Calibri"/>
                <w:sz w:val="22"/>
              </w:rPr>
              <w:t>No specific Q2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 Diluted Operating — Q2 2026</w:t>
            </w:r>
          </w:p>
        </w:tc>
        <w:tc>
          <w:tcPr>
            <w:tcW w:type="dxa" w:w="1080"/>
          </w:tcPr>
          <w:p>
            <w:r>
              <w:rPr>
                <w:rFonts w:ascii="Calibri" w:hAnsi="Calibri"/>
                <w:sz w:val="22"/>
              </w:rPr>
              <w:t>$1.14</w:t>
            </w:r>
          </w:p>
        </w:tc>
        <w:tc>
          <w:tcPr>
            <w:tcW w:type="dxa" w:w="1080"/>
          </w:tcPr>
          <w:p>
            <w:r>
              <w:rPr>
                <w:rFonts w:ascii="Calibri" w:hAnsi="Calibri"/>
                <w:sz w:val="22"/>
              </w:rPr>
              <w:t>$1.09</w:t>
            </w:r>
          </w:p>
        </w:tc>
        <w:tc>
          <w:tcPr>
            <w:tcW w:type="dxa" w:w="1080"/>
          </w:tcPr>
          <w:p>
            <w:r>
              <w:rPr>
                <w:rFonts w:ascii="Calibri" w:hAnsi="Calibri"/>
                <w:sz w:val="22"/>
              </w:rPr>
              <w:t>−4.4%</w:t>
            </w:r>
          </w:p>
        </w:tc>
        <w:tc>
          <w:tcPr>
            <w:tcW w:type="dxa" w:w="1080"/>
          </w:tcPr>
          <w:p>
            <w:r>
              <w:rPr>
                <w:rFonts w:ascii="Calibri" w:hAnsi="Calibri"/>
                <w:sz w:val="22"/>
              </w:rPr>
              <w:t>No specific Q2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Revenues — FY 2026</w:t>
            </w:r>
          </w:p>
        </w:tc>
        <w:tc>
          <w:tcPr>
            <w:tcW w:type="dxa" w:w="1080"/>
          </w:tcPr>
          <w:p>
            <w:r>
              <w:rPr>
                <w:rFonts w:ascii="Calibri" w:hAnsi="Calibri"/>
                <w:sz w:val="22"/>
              </w:rPr>
              <w:t>$7,482.1M</w:t>
            </w:r>
          </w:p>
        </w:tc>
        <w:tc>
          <w:tcPr>
            <w:tcW w:type="dxa" w:w="1080"/>
          </w:tcPr>
          <w:p>
            <w:r>
              <w:rPr>
                <w:rFonts w:ascii="Calibri" w:hAnsi="Calibri"/>
                <w:sz w:val="22"/>
              </w:rPr>
              <w:t>$7,472.8M</w:t>
            </w:r>
          </w:p>
        </w:tc>
        <w:tc>
          <w:tcPr>
            <w:tcW w:type="dxa" w:w="1080"/>
          </w:tcPr>
          <w:p>
            <w:r>
              <w:rPr>
                <w:rFonts w:ascii="Calibri" w:hAnsi="Calibri"/>
                <w:sz w:val="22"/>
              </w:rPr>
              <w:t>−0.1%</w:t>
            </w:r>
          </w:p>
        </w:tc>
        <w:tc>
          <w:tcPr>
            <w:tcW w:type="dxa" w:w="1080"/>
          </w:tcPr>
          <w:p>
            <w:r>
              <w:rPr>
                <w:rFonts w:ascii="Calibri" w:hAnsi="Calibri"/>
                <w:sz w:val="22"/>
              </w:rPr>
              <w:t>Positive tone for remainder of 2026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Property EBITDAR — FY 2026</w:t>
            </w:r>
          </w:p>
        </w:tc>
        <w:tc>
          <w:tcPr>
            <w:tcW w:type="dxa" w:w="1080"/>
          </w:tcPr>
          <w:p>
            <w:r>
              <w:rPr>
                <w:rFonts w:ascii="Calibri" w:hAnsi="Calibri"/>
                <w:sz w:val="22"/>
              </w:rPr>
              <w:t>$2,278.5M</w:t>
            </w:r>
          </w:p>
        </w:tc>
        <w:tc>
          <w:tcPr>
            <w:tcW w:type="dxa" w:w="1080"/>
          </w:tcPr>
          <w:p>
            <w:r>
              <w:rPr>
                <w:rFonts w:ascii="Calibri" w:hAnsi="Calibri"/>
                <w:sz w:val="22"/>
              </w:rPr>
              <w:t>$2,260.6M</w:t>
            </w:r>
          </w:p>
        </w:tc>
        <w:tc>
          <w:tcPr>
            <w:tcW w:type="dxa" w:w="1080"/>
          </w:tcPr>
          <w:p>
            <w:r>
              <w:rPr>
                <w:rFonts w:ascii="Calibri" w:hAnsi="Calibri"/>
                <w:sz w:val="22"/>
              </w:rPr>
              <w:t>−0.8%</w:t>
            </w:r>
          </w:p>
        </w:tc>
        <w:tc>
          <w:tcPr>
            <w:tcW w:type="dxa" w:w="1080"/>
          </w:tcPr>
          <w:p>
            <w:r>
              <w:rPr>
                <w:rFonts w:ascii="Calibri" w:hAnsi="Calibri"/>
                <w:sz w:val="22"/>
              </w:rPr>
              <w:t>No formal FY guidance; positive tone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 Diluted Operating — FY 2026</w:t>
            </w:r>
          </w:p>
        </w:tc>
        <w:tc>
          <w:tcPr>
            <w:tcW w:type="dxa" w:w="1080"/>
          </w:tcPr>
          <w:p>
            <w:r>
              <w:rPr>
                <w:rFonts w:ascii="Calibri" w:hAnsi="Calibri"/>
                <w:sz w:val="22"/>
              </w:rPr>
              <w:t>$4.86</w:t>
            </w:r>
          </w:p>
        </w:tc>
        <w:tc>
          <w:tcPr>
            <w:tcW w:type="dxa" w:w="1080"/>
          </w:tcPr>
          <w:p>
            <w:r>
              <w:rPr>
                <w:rFonts w:ascii="Calibri" w:hAnsi="Calibri"/>
                <w:sz w:val="22"/>
              </w:rPr>
              <w:t>$4.81</w:t>
            </w:r>
          </w:p>
        </w:tc>
        <w:tc>
          <w:tcPr>
            <w:tcW w:type="dxa" w:w="1080"/>
          </w:tcPr>
          <w:p>
            <w:r>
              <w:rPr>
                <w:rFonts w:ascii="Calibri" w:hAnsi="Calibri"/>
                <w:sz w:val="22"/>
              </w:rPr>
              <w:t>−1.0%</w:t>
            </w:r>
          </w:p>
        </w:tc>
        <w:tc>
          <w:tcPr>
            <w:tcW w:type="dxa" w:w="1080"/>
          </w:tcPr>
          <w:p>
            <w:r>
              <w:rPr>
                <w:rFonts w:ascii="Calibri" w:hAnsi="Calibri"/>
                <w:sz w:val="22"/>
              </w:rPr>
              <w:t>No formal FY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Estimates have drifted modestly lower across all KPIs since the Q1 print, with EPS down ~4% and EBITDAR down ~2% for Q2 2026 — consistent with the street absorbing the Q1 EBITDA miss and UAE delay uncertainty rather than pricing in upside. FY 2026 estimates are essentially flat, suggesting the street views Q2 as a soft quarter within an otherwise intact full-year thesis. No formal guidance has been issued for Q2 or FY 2026, so consensus vs. guidance comparison is not applicable.</w:t>
      </w:r>
    </w:p>
    <w:p>
      <w:r>
        <w:rPr>
          <w:rFonts w:ascii="Calibri" w:hAnsi="Calibri"/>
          <w:i/>
          <w:color w:val="525866"/>
          <w:sz w:val="22"/>
        </w:rPr>
        <w:t>Source: Visible Alpha Consensus and Actuals Data. Post-Q1 baseline as of May 12, 2026 (5 trading days after May 7 earnings).</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WYNN has underperformed the XLY by ~6.5 percentage points since Q1 earnings, driven by </w:t>
      </w:r>
      <w:r>
        <w:rPr>
          <w:rFonts w:ascii="Calibri" w:hAnsi="Calibri"/>
          <w:b/>
          <w:color w:val="525866"/>
          <w:sz w:val="22"/>
        </w:rPr>
        <w:t>multiple compression</w:t>
      </w:r>
      <w:r>
        <w:rPr>
          <w:rFonts w:ascii="Calibri" w:hAnsi="Calibri"/>
          <w:color w:val="525866"/>
          <w:sz w:val="22"/>
        </w:rPr>
        <w:t xml:space="preserve"> and sentiment headwinds from the UAE delay and Q1 EBITDA miss — the stock is not pricing in a beat, which limits downside but also caps the re-rating on an in-line print.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WYNN vs. XLY (Consumer Discretionary ETF) — Indexed to 100 at Q1 2026 Earnings Date (May 7, 2026). Source: Stock Price Data.</w:t>
      </w:r>
    </w:p>
    <w:p>
      <w:r>
        <w:rPr>
          <w:rFonts w:ascii="Calibri" w:hAnsi="Calibri"/>
          <w:color w:val="525866"/>
          <w:sz w:val="22"/>
        </w:rPr>
        <w:t xml:space="preserve">Since the Q1 2026 earnings date (May 7, 2026), WYNN has declined </w:t>
      </w:r>
      <w:r>
        <w:rPr>
          <w:rFonts w:ascii="Calibri" w:hAnsi="Calibri"/>
          <w:b/>
          <w:color w:val="525866"/>
          <w:sz w:val="22"/>
        </w:rPr>
        <w:t>−7.9%</w:t>
      </w:r>
      <w:r>
        <w:rPr>
          <w:rFonts w:ascii="Calibri" w:hAnsi="Calibri"/>
          <w:color w:val="525866"/>
          <w:sz w:val="22"/>
        </w:rPr>
        <w:t xml:space="preserve"> (from $106.85 to $98.36 as of August 4, 2026) versus a </w:t>
      </w:r>
      <w:r>
        <w:rPr>
          <w:rFonts w:ascii="Calibri" w:hAnsi="Calibri"/>
          <w:b/>
          <w:color w:val="525866"/>
          <w:sz w:val="22"/>
        </w:rPr>
        <w:t>−1.4%</w:t>
      </w:r>
      <w:r>
        <w:rPr>
          <w:rFonts w:ascii="Calibri" w:hAnsi="Calibri"/>
          <w:color w:val="525866"/>
          <w:sz w:val="22"/>
        </w:rPr>
        <w:t xml:space="preserve"> decline for the XLY Consumer Discretionary ETF, representing approximately </w:t>
      </w:r>
      <w:r>
        <w:rPr>
          <w:rFonts w:ascii="Calibri" w:hAnsi="Calibri"/>
          <w:b/>
          <w:color w:val="525866"/>
          <w:sz w:val="22"/>
        </w:rPr>
        <w:t>650 basis points of underperformance</w:t>
      </w:r>
      <w:r>
        <w:rPr>
          <w:rFonts w:ascii="Calibri" w:hAnsi="Calibri"/>
          <w:color w:val="525866"/>
          <w:sz w:val="22"/>
        </w:rPr>
        <w:t>. The stock sold off sharply in the days immediately following the Q1 print (falling from $106.85 to a trough near $94.37 by July 22), driven by the EBITDA miss, above-guided OpEx, and the UAE opening delay announcement. A partial recovery in late July (to ~$100) coincided with the Macau land concession amendment (July 22, 2026) confirming regulatory approval for the Enclave at Wynn Palace expansion, which was received positively. The XLY underperformed the broader market in the same period, reflecting sector-wide consumer discretionary pressure, but WYNN’s underperformance versus the ETF is idiosyncratic and driven by company-specific factors. At current levels, the stock trades at a compressed multiple that does not appear to price in a beat, suggesting asymmetric upside if Macau VIP hold normalizes and the UAE delay is quantified as modest.</w:t>
      </w:r>
    </w:p>
    <w:p>
      <w:r>
        <w:rPr>
          <w:rFonts w:ascii="Calibri" w:hAnsi="Calibri"/>
          <w:i/>
          <w:color w:val="525866"/>
          <w:sz w:val="22"/>
        </w:rPr>
        <w:t>Sector ETF used: XLY (SPDR Consumer Discretionary Select Sector ETF) — appropriate for WYNN as a luxury gaming and hospitality company within the consumer discretionary sector.</w:t>
      </w:r>
    </w:p>
    <w:p>
      <w:r>
        <w:br w:type="page"/>
      </w:r>
    </w:p>
    <w:p>
      <w:pPr>
        <w:pStyle w:val="Heading1"/>
        <w:pBdr>
          <w:bottom w:val="single" w:sz="4" w:space="1" w:color="FB9120"/>
        </w:pBdr>
      </w:pPr>
      <w:r>
        <w:rPr>
          <w:rFonts w:ascii="Calibri" w:hAnsi="Calibri"/>
          <w:b/>
          <w:color w:val="3B4259"/>
          <w:sz w:val="40"/>
        </w:rPr>
        <w:t>6. Peer Commentaries — Q2 2026 Read-Throughs</w:t>
      </w:r>
    </w:p>
    <w:p>
      <w:r>
        <w:rPr>
          <w:rFonts w:ascii="Calibri" w:hAnsi="Calibri"/>
          <w:b/>
          <w:color w:val="525866"/>
          <w:sz w:val="22"/>
        </w:rPr>
        <w:t xml:space="preserve">Key Takeaway: </w:t>
      </w:r>
      <w:r>
        <w:rPr>
          <w:rFonts w:ascii="Calibri" w:hAnsi="Calibri"/>
          <w:color w:val="525866"/>
          <w:sz w:val="22"/>
        </w:rPr>
        <w:t xml:space="preserve">MGM and LVS Q2 2026 earnings calls (both reported before WYNN) provide critical read-throughs: </w:t>
      </w:r>
      <w:r>
        <w:rPr>
          <w:rFonts w:ascii="Calibri" w:hAnsi="Calibri"/>
          <w:b/>
          <w:color w:val="525866"/>
          <w:sz w:val="22"/>
        </w:rPr>
        <w:t>Las Vegas luxury demand remains strong</w:t>
      </w:r>
      <w:r>
        <w:rPr>
          <w:rFonts w:ascii="Calibri" w:hAnsi="Calibri"/>
          <w:color w:val="525866"/>
          <w:sz w:val="22"/>
        </w:rPr>
        <w:t xml:space="preserve"> and July is tracking well, but </w:t>
      </w:r>
      <w:r>
        <w:rPr>
          <w:rFonts w:ascii="Calibri" w:hAnsi="Calibri"/>
          <w:b/>
          <w:color w:val="525866"/>
          <w:sz w:val="22"/>
        </w:rPr>
        <w:t>Macau VIP hold was severely impacted by the World Cup in June</w:t>
      </w:r>
      <w:r>
        <w:rPr>
          <w:rFonts w:ascii="Calibri" w:hAnsi="Calibri"/>
          <w:color w:val="525866"/>
          <w:sz w:val="22"/>
        </w:rPr>
        <w:t xml:space="preserve"> — LVS flagged an $87M EBITDA headwind from below-normal hold, which is the single most important read-through for WYNN’s Q2 Macau EBITDAR.</w:t>
      </w:r>
    </w:p>
    <w:p>
      <w:pPr>
        <w:pStyle w:val="Heading2"/>
      </w:pPr>
      <w:r>
        <w:rPr>
          <w:rFonts w:ascii="Calibri" w:hAnsi="Calibri"/>
          <w:b/>
          <w:color w:val="3B4259"/>
          <w:sz w:val="28"/>
        </w:rPr>
        <w:t>MGM Resorts International (MGM) — Q2 2026 Earnings (Reported July 29, 2026)</w:t>
      </w:r>
    </w:p>
    <w:p>
      <w:pPr>
        <w:pStyle w:val="Heading3"/>
      </w:pPr>
      <w:r>
        <w:rPr>
          <w:rFonts w:ascii="Calibri" w:hAnsi="Calibri"/>
          <w:b/>
          <w:i/>
          <w:color w:val="3B4259"/>
          <w:sz w:val="24"/>
        </w:rPr>
        <w:t>Las Vegas Read-Through</w:t>
      </w:r>
    </w:p>
    <w:p>
      <w:pPr>
        <w:pStyle w:val="ListBullet"/>
        <w:ind w:left="360" w:hanging="360"/>
      </w:pPr>
      <w:r>
        <w:rPr>
          <w:rFonts w:ascii="Calibri" w:hAnsi="Calibri"/>
          <w:b/>
          <w:color w:val="525866"/>
          <w:sz w:val="22"/>
        </w:rPr>
        <w:t xml:space="preserve">Record Q2 results: </w:t>
      </w:r>
      <w:r>
        <w:rPr>
          <w:rFonts w:ascii="Calibri" w:hAnsi="Calibri"/>
          <w:color w:val="525866"/>
          <w:sz w:val="22"/>
        </w:rPr>
        <w:t xml:space="preserve">MGM reported record second-quarter consolidated net revenue, with Las Vegas Strip revenue growing year-over-year for the second consecutive quarter. EBITDA at Strip resorts was up $25M YoY, partly aided by a hold benefit “in the tens of millions.” </w:t>
      </w:r>
    </w:p>
    <w:p>
      <w:pPr>
        <w:pStyle w:val="ListBullet"/>
        <w:ind w:left="360" w:hanging="360"/>
      </w:pPr>
      <w:r>
        <w:rPr>
          <w:rFonts w:ascii="Calibri" w:hAnsi="Calibri"/>
          <w:b/>
          <w:color w:val="525866"/>
          <w:sz w:val="22"/>
        </w:rPr>
        <w:t xml:space="preserve">Luxury demand remains robust: </w:t>
      </w:r>
      <w:r>
        <w:rPr>
          <w:rFonts w:ascii="Calibri" w:hAnsi="Calibri"/>
          <w:color w:val="525866"/>
          <w:sz w:val="22"/>
        </w:rPr>
        <w:t xml:space="preserve">“The top end of our marketplace, the very top end is very strong and continues to be.” Group and convention business represented 20% of room mix in Q2 and is on pace for 20% full-year — “highest second quarter convention ADR in catering and banquet revenue in our history.” </w:t>
      </w:r>
    </w:p>
    <w:p>
      <w:pPr>
        <w:pStyle w:val="ListBullet"/>
        <w:ind w:left="360" w:hanging="360"/>
      </w:pPr>
      <w:r>
        <w:rPr>
          <w:rFonts w:ascii="Calibri" w:hAnsi="Calibri"/>
          <w:b/>
          <w:color w:val="525866"/>
          <w:sz w:val="22"/>
        </w:rPr>
        <w:t xml:space="preserve">Monthly cadence — May strong, June soft, July good: </w:t>
      </w:r>
      <w:r>
        <w:rPr>
          <w:rFonts w:ascii="Calibri" w:hAnsi="Calibri"/>
          <w:color w:val="525866"/>
          <w:sz w:val="22"/>
        </w:rPr>
        <w:t xml:space="preserve">April and May were strong (May “exceptionally strong” driven by events including a $10M baccarat tournament); June was “more challenged” due to summer heat; “July, on the other hand, has been good.” </w:t>
      </w:r>
    </w:p>
    <w:p>
      <w:pPr>
        <w:pStyle w:val="ListBullet"/>
        <w:ind w:left="360" w:hanging="360"/>
      </w:pPr>
      <w:r>
        <w:rPr>
          <w:rFonts w:ascii="Calibri" w:hAnsi="Calibri"/>
          <w:b/>
          <w:color w:val="525866"/>
          <w:sz w:val="22"/>
        </w:rPr>
        <w:t xml:space="preserve">RevPAR still slightly down but EBITDA growing: </w:t>
      </w:r>
      <w:r>
        <w:rPr>
          <w:rFonts w:ascii="Calibri" w:hAnsi="Calibri"/>
          <w:color w:val="525866"/>
          <w:sz w:val="22"/>
        </w:rPr>
        <w:t xml:space="preserve">MGM noted RevPAR is “still down a little” but characterized it as a “non-cash metric” — overall Las Vegas revenue and EBITDA grew YoY. International travel to Las Vegas remains “off considerably” from peak. </w:t>
      </w:r>
    </w:p>
    <w:p>
      <w:pPr>
        <w:pStyle w:val="ListBullet"/>
        <w:ind w:left="360" w:hanging="360"/>
      </w:pPr>
      <w:r>
        <w:rPr>
          <w:rFonts w:ascii="Calibri" w:hAnsi="Calibri"/>
          <w:b/>
          <w:color w:val="525866"/>
          <w:sz w:val="22"/>
        </w:rPr>
        <w:t xml:space="preserve">WYNN read-through: </w:t>
      </w:r>
      <w:r>
        <w:rPr>
          <w:rFonts w:ascii="Calibri" w:hAnsi="Calibri"/>
          <w:color w:val="525866"/>
          <w:sz w:val="22"/>
        </w:rPr>
        <w:t>Positive for Las Vegas gaming volumes and luxury demand; the strong May and recovering July cadence is consistent with WYNN’s April commentary. The hold benefit at MGM is a reminder that hold can swing results materially in either direction.</w:t>
      </w:r>
    </w:p>
    <w:p>
      <w:pPr>
        <w:pStyle w:val="Heading3"/>
      </w:pPr>
      <w:r>
        <w:rPr>
          <w:rFonts w:ascii="Calibri" w:hAnsi="Calibri"/>
          <w:b/>
          <w:i/>
          <w:color w:val="3B4259"/>
          <w:sz w:val="24"/>
        </w:rPr>
        <w:t>Macau Read-Through</w:t>
      </w:r>
    </w:p>
    <w:p>
      <w:pPr>
        <w:pStyle w:val="ListBullet"/>
        <w:ind w:left="360" w:hanging="360"/>
      </w:pPr>
      <w:r>
        <w:rPr>
          <w:rFonts w:ascii="Calibri" w:hAnsi="Calibri"/>
          <w:b/>
          <w:color w:val="525866"/>
          <w:sz w:val="22"/>
        </w:rPr>
        <w:t xml:space="preserve">World Cup materially impacted June volumes: </w:t>
      </w:r>
      <w:r>
        <w:rPr>
          <w:rFonts w:ascii="Calibri" w:hAnsi="Calibri"/>
          <w:color w:val="525866"/>
          <w:sz w:val="22"/>
        </w:rPr>
        <w:t xml:space="preserve">MGM China noted the World Cup “temporarily impacted June volumes in Macau” but characterized it as “a transitory event rather than a secular shift.” Volumes and earnings were “solid in April and May.” </w:t>
      </w:r>
    </w:p>
    <w:p>
      <w:pPr>
        <w:pStyle w:val="ListBullet"/>
        <w:ind w:left="360" w:hanging="360"/>
      </w:pPr>
      <w:r>
        <w:rPr>
          <w:rFonts w:ascii="Calibri" w:hAnsi="Calibri"/>
          <w:b/>
          <w:color w:val="525866"/>
          <w:sz w:val="22"/>
        </w:rPr>
        <w:t xml:space="preserve">Strong July recovery: </w:t>
      </w:r>
      <w:r>
        <w:rPr>
          <w:rFonts w:ascii="Calibri" w:hAnsi="Calibri"/>
          <w:color w:val="525866"/>
          <w:sz w:val="22"/>
        </w:rPr>
        <w:t xml:space="preserve">“Macau bounced back nicely in July while maintaining mid-teen share throughout.” MGM noted “pent-up demand from World Cup period” with “both visitations and business volumes have strongly picked up since even the second week of July.” Macau gaming revenue “had recovered nearly to Q1 levels” by late July. </w:t>
      </w:r>
    </w:p>
    <w:p>
      <w:pPr>
        <w:pStyle w:val="ListBullet"/>
        <w:ind w:left="360" w:hanging="360"/>
      </w:pPr>
      <w:r>
        <w:rPr>
          <w:rFonts w:ascii="Calibri" w:hAnsi="Calibri"/>
          <w:b/>
          <w:color w:val="525866"/>
          <w:sz w:val="22"/>
        </w:rPr>
        <w:t xml:space="preserve">Premium segment investment paying off: </w:t>
      </w:r>
      <w:r>
        <w:rPr>
          <w:rFonts w:ascii="Calibri" w:hAnsi="Calibri"/>
          <w:color w:val="525866"/>
          <w:sz w:val="22"/>
        </w:rPr>
        <w:t xml:space="preserve">MGM China maintained 16.4% market share in Q2 (up 1 full percentage point sequentially), driven by suite conversions and renovated premium gaming areas including “ultra luxury Alpha Villas” and 500 sq ft of high-end gaming space. </w:t>
      </w:r>
    </w:p>
    <w:p>
      <w:pPr>
        <w:pStyle w:val="ListBullet"/>
        <w:ind w:left="360" w:hanging="360"/>
      </w:pPr>
      <w:r>
        <w:rPr>
          <w:rFonts w:ascii="Calibri" w:hAnsi="Calibri"/>
          <w:b/>
          <w:color w:val="525866"/>
          <w:sz w:val="22"/>
        </w:rPr>
        <w:t xml:space="preserve">WYNN read-through: </w:t>
      </w:r>
      <w:r>
        <w:rPr>
          <w:rFonts w:ascii="Calibri" w:hAnsi="Calibri"/>
          <w:color w:val="525866"/>
          <w:sz w:val="22"/>
        </w:rPr>
        <w:t>The World Cup June headwind is a clear negative read-through for WYNN’s Q2 Macau EBITDAR. However, the strong July recovery and characterization as transitory is constructive for the Q3 setup. WYNN’s Chairman’s Club expansion positions it well in the premium segment where MGM is also investing.</w:t>
      </w:r>
    </w:p>
    <w:p>
      <w:pPr>
        <w:pStyle w:val="Heading2"/>
      </w:pPr>
      <w:r>
        <w:rPr>
          <w:rFonts w:ascii="Calibri" w:hAnsi="Calibri"/>
          <w:b/>
          <w:color w:val="3B4259"/>
          <w:sz w:val="28"/>
        </w:rPr>
        <w:t>Las Vegas Sands (LVS) — Q2 2026 Earnings (Reported July 22, 2026)</w:t>
      </w:r>
    </w:p>
    <w:p>
      <w:pPr>
        <w:pStyle w:val="Heading3"/>
      </w:pPr>
      <w:r>
        <w:rPr>
          <w:rFonts w:ascii="Calibri" w:hAnsi="Calibri"/>
          <w:b/>
          <w:i/>
          <w:color w:val="3B4259"/>
          <w:sz w:val="24"/>
        </w:rPr>
        <w:t>Macau Read-Through (Most Critical for WYNN)</w:t>
      </w:r>
    </w:p>
    <w:p>
      <w:pPr>
        <w:pStyle w:val="ListBullet"/>
        <w:ind w:left="360" w:hanging="360"/>
      </w:pPr>
      <w:r>
        <w:rPr>
          <w:rFonts w:ascii="Calibri" w:hAnsi="Calibri"/>
          <w:b/>
          <w:color w:val="525866"/>
          <w:sz w:val="22"/>
        </w:rPr>
        <w:t xml:space="preserve">Exceptionally low VIP hold crushed Macau EBITDA: </w:t>
      </w:r>
      <w:r>
        <w:rPr>
          <w:rFonts w:ascii="Calibri" w:hAnsi="Calibri"/>
          <w:color w:val="525866"/>
          <w:sz w:val="22"/>
        </w:rPr>
        <w:t xml:space="preserve">LVS reported Macau EBITDA of $430M, but flagged an “exceptionally low VIP rolling hold of 1.35%” (vs. ~3.0% theoretical). If hold had been normal, EBITDA would have been $87M higher at $517M. This is the single most important read-through for WYNN’s Q2 Macau EBITDAR. </w:t>
      </w:r>
    </w:p>
    <w:p>
      <w:pPr>
        <w:pStyle w:val="ListBullet"/>
        <w:ind w:left="360" w:hanging="360"/>
      </w:pPr>
      <w:r>
        <w:rPr>
          <w:rFonts w:ascii="Calibri" w:hAnsi="Calibri"/>
          <w:b/>
          <w:color w:val="525866"/>
          <w:sz w:val="22"/>
        </w:rPr>
        <w:t xml:space="preserve">World Cup drove high-value patron absence in June: </w:t>
      </w:r>
      <w:r>
        <w:rPr>
          <w:rFonts w:ascii="Calibri" w:hAnsi="Calibri"/>
          <w:color w:val="525866"/>
          <w:sz w:val="22"/>
        </w:rPr>
        <w:t xml:space="preserve">“There was a decrease in visitation to both Marina Bay Sands and Macau properties by our high value patrons during the World Cup football tournament. It was very noticeable in June.” LVS described the World Cup as “an unbelievable sporting event” that drove tourism away from their core markets. </w:t>
      </w:r>
    </w:p>
    <w:p>
      <w:pPr>
        <w:pStyle w:val="ListBullet"/>
        <w:ind w:left="360" w:hanging="360"/>
      </w:pPr>
      <w:r>
        <w:rPr>
          <w:rFonts w:ascii="Calibri" w:hAnsi="Calibri"/>
          <w:b/>
          <w:color w:val="525866"/>
          <w:sz w:val="22"/>
        </w:rPr>
        <w:t xml:space="preserve">Underlying volume growth was strong despite hold headwind: </w:t>
      </w:r>
      <w:r>
        <w:rPr>
          <w:rFonts w:ascii="Calibri" w:hAnsi="Calibri"/>
          <w:color w:val="525866"/>
          <w:sz w:val="22"/>
        </w:rPr>
        <w:t xml:space="preserve">Sands China’s rolling volume was up 73% YoY, non-rolling drop up 15% YoY, and slot/ITG handle up 30% YoY. Mass GGR grew 8% YoY (vs. market +4%). Sands China achieved 26% VIP rolling chip volume share, moving from #4 to #1 in the rolling segment. </w:t>
      </w:r>
    </w:p>
    <w:p>
      <w:pPr>
        <w:pStyle w:val="ListBullet"/>
        <w:ind w:left="360" w:hanging="360"/>
      </w:pPr>
      <w:r>
        <w:rPr>
          <w:rFonts w:ascii="Calibri" w:hAnsi="Calibri"/>
          <w:b/>
          <w:color w:val="525866"/>
          <w:sz w:val="22"/>
        </w:rPr>
        <w:t xml:space="preserve">May was an all-time high for monthly mass GGR; June was softer: </w:t>
      </w:r>
      <w:r>
        <w:rPr>
          <w:rFonts w:ascii="Calibri" w:hAnsi="Calibri"/>
          <w:color w:val="525866"/>
          <w:sz w:val="22"/>
        </w:rPr>
        <w:t xml:space="preserve">“In terms of monthly mass GGR, June was clearly softer and there was some impact from World Cup.” The market was “tracking very well in April and May.” </w:t>
      </w:r>
    </w:p>
    <w:p>
      <w:pPr>
        <w:pStyle w:val="ListBullet"/>
        <w:ind w:left="360" w:hanging="360"/>
      </w:pPr>
      <w:r>
        <w:rPr>
          <w:rFonts w:ascii="Calibri" w:hAnsi="Calibri"/>
          <w:b/>
          <w:color w:val="525866"/>
          <w:sz w:val="22"/>
        </w:rPr>
        <w:t xml:space="preserve">Too early to assess snapback: </w:t>
      </w:r>
      <w:r>
        <w:rPr>
          <w:rFonts w:ascii="Calibri" w:hAnsi="Calibri"/>
          <w:color w:val="525866"/>
          <w:sz w:val="22"/>
        </w:rPr>
        <w:t xml:space="preserve">LVS noted it was “a little early to tell you about any snapback, given that everything ended only a few days ago” (World Cup concluded just before the July 22 earnings call). </w:t>
      </w:r>
    </w:p>
    <w:p>
      <w:pPr>
        <w:pStyle w:val="ListBullet"/>
        <w:ind w:left="360" w:hanging="360"/>
      </w:pPr>
      <w:r>
        <w:rPr>
          <w:rFonts w:ascii="Calibri" w:hAnsi="Calibri"/>
          <w:b/>
          <w:color w:val="525866"/>
          <w:sz w:val="22"/>
        </w:rPr>
        <w:t xml:space="preserve">OpEx investments beginning to level off: </w:t>
      </w:r>
      <w:r>
        <w:rPr>
          <w:rFonts w:ascii="Calibri" w:hAnsi="Calibri"/>
          <w:color w:val="525866"/>
          <w:sz w:val="22"/>
        </w:rPr>
        <w:t xml:space="preserve">LVS noted increased investments in table operating hours, sales/marketing, and customer service “should begin to level off in the second half of 2026,” with the rate of opex growth expected to moderate into H2 2026 and 2027. </w:t>
      </w:r>
    </w:p>
    <w:p>
      <w:pPr>
        <w:pStyle w:val="ListBullet"/>
        <w:ind w:left="360" w:hanging="360"/>
      </w:pPr>
      <w:r>
        <w:rPr>
          <w:rFonts w:ascii="Calibri" w:hAnsi="Calibri"/>
          <w:b/>
          <w:color w:val="525866"/>
          <w:sz w:val="22"/>
        </w:rPr>
        <w:t xml:space="preserve">WYNN read-through: </w:t>
      </w:r>
      <w:r>
        <w:rPr>
          <w:rFonts w:ascii="Calibri" w:hAnsi="Calibri"/>
          <w:color w:val="525866"/>
          <w:sz w:val="22"/>
        </w:rPr>
        <w:t>The LVS Macau data is the most directly relevant read-through for WYNN. The 1.35% VIP hold (vs. ~3% theoretical) implies a potential $50–$80M EBITDAR headwind for WYNN if it experienced similar hold dynamics. The strong underlying volume growth (mass drop, non-rolling) is constructive for WYNN’s mass segment, but the VIP hold miss is the key risk to reported EBITDAR. The World Cup impact is now known and transitory; the Q3 setup looks cleaner.</w:t>
      </w:r>
    </w:p>
    <w:p>
      <w:pPr>
        <w:pStyle w:val="Heading3"/>
      </w:pPr>
      <w:r>
        <w:rPr>
          <w:rFonts w:ascii="Calibri" w:hAnsi="Calibri"/>
          <w:b/>
          <w:i/>
          <w:color w:val="3B4259"/>
          <w:sz w:val="24"/>
        </w:rPr>
        <w:t>Singapore (Marina Bay Sands) Read-Through</w:t>
      </w:r>
    </w:p>
    <w:p>
      <w:pPr>
        <w:pStyle w:val="ListBullet"/>
        <w:ind w:left="360" w:hanging="360"/>
      </w:pPr>
      <w:r>
        <w:rPr>
          <w:rFonts w:ascii="Calibri" w:hAnsi="Calibri"/>
          <w:b/>
          <w:color w:val="525866"/>
          <w:sz w:val="22"/>
        </w:rPr>
        <w:t xml:space="preserve">MBS delivered $689M EBITDA despite headwinds: </w:t>
      </w:r>
      <w:r>
        <w:rPr>
          <w:rFonts w:ascii="Calibri" w:hAnsi="Calibri"/>
          <w:color w:val="525866"/>
          <w:sz w:val="22"/>
        </w:rPr>
        <w:t xml:space="preserve">Strong performance at 50% EBITDA margin despite seasonally softer tourism and World Cup impact on high-value patron visitation. Mass gaming revenues grew 5% YoY. </w:t>
      </w:r>
    </w:p>
    <w:p>
      <w:pPr>
        <w:pStyle w:val="ListBullet"/>
        <w:ind w:left="360" w:hanging="360"/>
      </w:pPr>
      <w:r>
        <w:rPr>
          <w:rFonts w:ascii="Calibri" w:hAnsi="Calibri"/>
          <w:b/>
          <w:color w:val="525866"/>
          <w:sz w:val="22"/>
        </w:rPr>
        <w:t xml:space="preserve">VIP hold was favorable at MBS: </w:t>
      </w:r>
      <w:r>
        <w:rPr>
          <w:rFonts w:ascii="Calibri" w:hAnsi="Calibri"/>
          <w:color w:val="525866"/>
          <w:sz w:val="22"/>
        </w:rPr>
        <w:t xml:space="preserve">MBS held 4.2% on $9.3B in rolling volume (above theoretical), which added ~$37M to EBITDA vs. expected. This contrasts sharply with Macau’s 1.35% hold. </w:t>
      </w:r>
    </w:p>
    <w:p>
      <w:pPr>
        <w:pStyle w:val="ListBullet"/>
        <w:ind w:left="360" w:hanging="360"/>
      </w:pPr>
      <w:r>
        <w:rPr>
          <w:rFonts w:ascii="Calibri" w:hAnsi="Calibri"/>
          <w:b/>
          <w:color w:val="525866"/>
          <w:sz w:val="22"/>
        </w:rPr>
        <w:t xml:space="preserve">WYNN read-through: </w:t>
      </w:r>
      <w:r>
        <w:rPr>
          <w:rFonts w:ascii="Calibri" w:hAnsi="Calibri"/>
          <w:color w:val="525866"/>
          <w:sz w:val="22"/>
        </w:rPr>
        <w:t>Limited direct read-through for WYNN (no Singapore exposure), but confirms that luxury gaming demand globally remains robust when hold is normalized.</w:t>
      </w:r>
    </w:p>
    <w:p>
      <w:pPr>
        <w:pStyle w:val="Heading2"/>
      </w:pPr>
      <w:r>
        <w:rPr>
          <w:rFonts w:ascii="Calibri" w:hAnsi="Calibri"/>
          <w:b/>
          <w:color w:val="3B4259"/>
          <w:sz w:val="28"/>
        </w:rPr>
        <w:t>Summary Read-Through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WYNN Implication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Las Vegas luxury demand</w:t>
            </w:r>
          </w:p>
        </w:tc>
        <w:tc>
          <w:tcPr>
            <w:tcW w:type="dxa" w:w="2160"/>
          </w:tcPr>
          <w:p>
            <w:r>
              <w:rPr>
                <w:rFonts w:ascii="Calibri" w:hAnsi="Calibri"/>
                <w:sz w:val="22"/>
              </w:rPr>
              <w:t>MGM: luxury “very strong”; May exceptional; July good</w:t>
            </w:r>
          </w:p>
        </w:tc>
        <w:tc>
          <w:tcPr>
            <w:tcW w:type="dxa" w:w="2160"/>
          </w:tcPr>
          <w:p>
            <w:r>
              <w:rPr>
                <w:rFonts w:ascii="Calibri" w:hAnsi="Calibri"/>
                <w:sz w:val="22"/>
              </w:rPr>
              <w:t>Positive for WYNN LV gaming volumes and ADR</w:t>
            </w:r>
          </w:p>
        </w:tc>
        <w:tc>
          <w:tcPr>
            <w:tcW w:type="dxa" w:w="2160"/>
          </w:tcPr>
          <w:p>
            <w:r>
              <w:rPr>
                <w:rFonts w:ascii="Calibri" w:hAnsi="Calibri"/>
                <w:b/>
                <w:color w:val="30A46C"/>
                <w:sz w:val="22"/>
              </w:rPr>
              <w:t>Positive</w:t>
            </w:r>
          </w:p>
        </w:tc>
      </w:tr>
      <w:tr>
        <w:tc>
          <w:tcPr>
            <w:tcW w:type="dxa" w:w="2160"/>
          </w:tcPr>
          <w:p>
            <w:r>
              <w:rPr>
                <w:rFonts w:ascii="Calibri" w:hAnsi="Calibri"/>
                <w:sz w:val="22"/>
              </w:rPr>
              <w:t>Las Vegas RevPAR</w:t>
            </w:r>
          </w:p>
        </w:tc>
        <w:tc>
          <w:tcPr>
            <w:tcW w:type="dxa" w:w="2160"/>
          </w:tcPr>
          <w:p>
            <w:r>
              <w:rPr>
                <w:rFonts w:ascii="Calibri" w:hAnsi="Calibri"/>
                <w:sz w:val="22"/>
              </w:rPr>
              <w:t>MGM: RevPAR “still down a little”; group strong</w:t>
            </w:r>
          </w:p>
        </w:tc>
        <w:tc>
          <w:tcPr>
            <w:tcW w:type="dxa" w:w="2160"/>
          </w:tcPr>
          <w:p>
            <w:r>
              <w:rPr>
                <w:rFonts w:ascii="Calibri" w:hAnsi="Calibri"/>
                <w:sz w:val="22"/>
              </w:rPr>
              <w:t>Neutral; WYNN managing rate + occupancy; Encore remodel headwind</w:t>
            </w:r>
          </w:p>
        </w:tc>
        <w:tc>
          <w:tcPr>
            <w:tcW w:type="dxa" w:w="2160"/>
          </w:tcPr>
          <w:p>
            <w:r>
              <w:rPr>
                <w:rFonts w:ascii="Calibri" w:hAnsi="Calibri"/>
                <w:sz w:val="22"/>
              </w:rPr>
              <w:t>Neutral</w:t>
            </w:r>
          </w:p>
        </w:tc>
      </w:tr>
      <w:tr>
        <w:tc>
          <w:tcPr>
            <w:tcW w:type="dxa" w:w="2160"/>
          </w:tcPr>
          <w:p>
            <w:r>
              <w:rPr>
                <w:rFonts w:ascii="Calibri" w:hAnsi="Calibri"/>
                <w:sz w:val="22"/>
              </w:rPr>
              <w:t>Macau VIP hold</w:t>
            </w:r>
          </w:p>
        </w:tc>
        <w:tc>
          <w:tcPr>
            <w:tcW w:type="dxa" w:w="2160"/>
          </w:tcPr>
          <w:p>
            <w:r>
              <w:rPr>
                <w:rFonts w:ascii="Calibri" w:hAnsi="Calibri"/>
                <w:sz w:val="22"/>
              </w:rPr>
              <w:t>LVS: 1.35% hold (vs. ~3% theoretical); $87M EBITDA miss</w:t>
            </w:r>
          </w:p>
        </w:tc>
        <w:tc>
          <w:tcPr>
            <w:tcW w:type="dxa" w:w="2160"/>
          </w:tcPr>
          <w:p>
            <w:r>
              <w:rPr>
                <w:rFonts w:ascii="Calibri" w:hAnsi="Calibri"/>
                <w:sz w:val="22"/>
              </w:rPr>
              <w:t>High risk of similar hold headwind at WYNN; could swing EBITDAR by $50–$80M</w:t>
            </w:r>
          </w:p>
        </w:tc>
        <w:tc>
          <w:tcPr>
            <w:tcW w:type="dxa" w:w="2160"/>
          </w:tcPr>
          <w:p>
            <w:r>
              <w:rPr>
                <w:rFonts w:ascii="Calibri" w:hAnsi="Calibri"/>
                <w:b/>
                <w:color w:val="E5484D"/>
                <w:sz w:val="22"/>
              </w:rPr>
              <w:t>Negative</w:t>
            </w:r>
          </w:p>
        </w:tc>
      </w:tr>
      <w:tr>
        <w:tc>
          <w:tcPr>
            <w:tcW w:type="dxa" w:w="2160"/>
          </w:tcPr>
          <w:p>
            <w:r>
              <w:rPr>
                <w:rFonts w:ascii="Calibri" w:hAnsi="Calibri"/>
                <w:sz w:val="22"/>
              </w:rPr>
              <w:t>Macau mass volumes</w:t>
            </w:r>
          </w:p>
        </w:tc>
        <w:tc>
          <w:tcPr>
            <w:tcW w:type="dxa" w:w="2160"/>
          </w:tcPr>
          <w:p>
            <w:r>
              <w:rPr>
                <w:rFonts w:ascii="Calibri" w:hAnsi="Calibri"/>
                <w:sz w:val="22"/>
              </w:rPr>
              <w:t>LVS: mass GGR +8% YoY (2x market); MGM: solid April/May</w:t>
            </w:r>
          </w:p>
        </w:tc>
        <w:tc>
          <w:tcPr>
            <w:tcW w:type="dxa" w:w="2160"/>
          </w:tcPr>
          <w:p>
            <w:r>
              <w:rPr>
                <w:rFonts w:ascii="Calibri" w:hAnsi="Calibri"/>
                <w:sz w:val="22"/>
              </w:rPr>
              <w:t>Positive for WYNN mass drop; Chairman’s Club expansion adds premium capacity</w:t>
            </w:r>
          </w:p>
        </w:tc>
        <w:tc>
          <w:tcPr>
            <w:tcW w:type="dxa" w:w="2160"/>
          </w:tcPr>
          <w:p>
            <w:r>
              <w:rPr>
                <w:rFonts w:ascii="Calibri" w:hAnsi="Calibri"/>
                <w:b/>
                <w:color w:val="30A46C"/>
                <w:sz w:val="22"/>
              </w:rPr>
              <w:t>Positive</w:t>
            </w:r>
          </w:p>
        </w:tc>
      </w:tr>
      <w:tr>
        <w:tc>
          <w:tcPr>
            <w:tcW w:type="dxa" w:w="2160"/>
          </w:tcPr>
          <w:p>
            <w:r>
              <w:rPr>
                <w:rFonts w:ascii="Calibri" w:hAnsi="Calibri"/>
                <w:sz w:val="22"/>
              </w:rPr>
              <w:t>World Cup June impact</w:t>
            </w:r>
          </w:p>
        </w:tc>
        <w:tc>
          <w:tcPr>
            <w:tcW w:type="dxa" w:w="2160"/>
          </w:tcPr>
          <w:p>
            <w:r>
              <w:rPr>
                <w:rFonts w:ascii="Calibri" w:hAnsi="Calibri"/>
                <w:sz w:val="22"/>
              </w:rPr>
              <w:t>LVS &amp; MGM: noticeable June softness; high-value patron absence</w:t>
            </w:r>
          </w:p>
        </w:tc>
        <w:tc>
          <w:tcPr>
            <w:tcW w:type="dxa" w:w="2160"/>
          </w:tcPr>
          <w:p>
            <w:r>
              <w:rPr>
                <w:rFonts w:ascii="Calibri" w:hAnsi="Calibri"/>
                <w:sz w:val="22"/>
              </w:rPr>
              <w:t>Negative for Q2 reported EBITDAR; transitory; Q3 setup cleaner</w:t>
            </w:r>
          </w:p>
        </w:tc>
        <w:tc>
          <w:tcPr>
            <w:tcW w:type="dxa" w:w="2160"/>
          </w:tcPr>
          <w:p>
            <w:r>
              <w:rPr>
                <w:rFonts w:ascii="Calibri" w:hAnsi="Calibri"/>
                <w:b/>
                <w:color w:val="E5484D"/>
                <w:sz w:val="22"/>
              </w:rPr>
              <w:t>Negative (Q2)</w:t>
            </w:r>
          </w:p>
        </w:tc>
      </w:tr>
      <w:tr>
        <w:tc>
          <w:tcPr>
            <w:tcW w:type="dxa" w:w="2160"/>
          </w:tcPr>
          <w:p>
            <w:r>
              <w:rPr>
                <w:rFonts w:ascii="Calibri" w:hAnsi="Calibri"/>
                <w:sz w:val="22"/>
              </w:rPr>
              <w:t>Macau July recovery</w:t>
            </w:r>
          </w:p>
        </w:tc>
        <w:tc>
          <w:tcPr>
            <w:tcW w:type="dxa" w:w="2160"/>
          </w:tcPr>
          <w:p>
            <w:r>
              <w:rPr>
                <w:rFonts w:ascii="Calibri" w:hAnsi="Calibri"/>
                <w:sz w:val="22"/>
              </w:rPr>
              <w:t>MGM: “bounced back nicely in July”; volumes near Q1 levels</w:t>
            </w:r>
          </w:p>
        </w:tc>
        <w:tc>
          <w:tcPr>
            <w:tcW w:type="dxa" w:w="2160"/>
          </w:tcPr>
          <w:p>
            <w:r>
              <w:rPr>
                <w:rFonts w:ascii="Calibri" w:hAnsi="Calibri"/>
                <w:sz w:val="22"/>
              </w:rPr>
              <w:t>Positive for Q3 setup; confirms World Cup impact was transitory</w:t>
            </w:r>
          </w:p>
        </w:tc>
        <w:tc>
          <w:tcPr>
            <w:tcW w:type="dxa" w:w="2160"/>
          </w:tcPr>
          <w:p>
            <w:r>
              <w:rPr>
                <w:rFonts w:ascii="Calibri" w:hAnsi="Calibri"/>
                <w:b/>
                <w:color w:val="30A46C"/>
                <w:sz w:val="22"/>
              </w:rPr>
              <w:t>Positive (Q3)</w:t>
            </w:r>
          </w:p>
        </w:tc>
      </w:tr>
      <w:tr>
        <w:tc>
          <w:tcPr>
            <w:tcW w:type="dxa" w:w="2160"/>
          </w:tcPr>
          <w:p>
            <w:r>
              <w:rPr>
                <w:rFonts w:ascii="Calibri" w:hAnsi="Calibri"/>
                <w:sz w:val="22"/>
              </w:rPr>
              <w:t>Premium segment competition</w:t>
            </w:r>
          </w:p>
        </w:tc>
        <w:tc>
          <w:tcPr>
            <w:tcW w:type="dxa" w:w="2160"/>
          </w:tcPr>
          <w:p>
            <w:r>
              <w:rPr>
                <w:rFonts w:ascii="Calibri" w:hAnsi="Calibri"/>
                <w:sz w:val="22"/>
              </w:rPr>
              <w:t>LVS: moved from #4 to #1 in VIP rolling share; intense competition</w:t>
            </w:r>
          </w:p>
        </w:tc>
        <w:tc>
          <w:tcPr>
            <w:tcW w:type="dxa" w:w="2160"/>
          </w:tcPr>
          <w:p>
            <w:r>
              <w:rPr>
                <w:rFonts w:ascii="Calibri" w:hAnsi="Calibri"/>
                <w:sz w:val="22"/>
              </w:rPr>
              <w:t>Competitive pressure in premium segment; WYNN’s Chairman’s Club is a differentiator</w:t>
            </w:r>
          </w:p>
        </w:tc>
        <w:tc>
          <w:tcPr>
            <w:tcW w:type="dxa" w:w="2160"/>
          </w:tcPr>
          <w:p>
            <w:r>
              <w:rPr>
                <w:rFonts w:ascii="Calibri" w:hAnsi="Calibri"/>
                <w:sz w:val="22"/>
              </w:rPr>
              <w:t>Mixed</w:t>
            </w:r>
          </w:p>
        </w:tc>
      </w:tr>
    </w:tbl>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Macau land concession amendment (July 22, 2026)</w:t>
      </w:r>
      <w:r>
        <w:rPr>
          <w:rFonts w:ascii="Calibri" w:hAnsi="Calibri"/>
          <w:color w:val="525866"/>
          <w:sz w:val="22"/>
        </w:rPr>
        <w:t xml:space="preserve"> formally approving the Enclave at Wynn Palace expansion — a significant positive for the long-term Macau growth thesis, though the $80.8M one-time land premium is a near-term cash outflow.</w:t>
      </w:r>
    </w:p>
    <w:p>
      <w:pPr>
        <w:pStyle w:val="ListBullet"/>
        <w:ind w:left="360" w:hanging="360"/>
      </w:pPr>
      <w:r>
        <w:rPr>
          <w:rFonts w:ascii="Calibri" w:hAnsi="Calibri"/>
          <w:b/>
          <w:color w:val="525866"/>
          <w:sz w:val="22"/>
        </w:rPr>
        <w:t xml:space="preserve">July 22, 2026 — Macau Government Approves Enclave at Wynn Palace Land Concession Amendment (8-K): </w:t>
      </w:r>
      <w:r>
        <w:rPr>
          <w:rFonts w:ascii="Calibri" w:hAnsi="Calibri"/>
          <w:color w:val="525866"/>
          <w:sz w:val="22"/>
        </w:rPr>
        <w:t xml:space="preserve">The Macau SAR Government published an amended and restated land concession contract formally permitting Palo Real Estate (Wynn subsidiary) to expand Wynn Palace with a new five-star hotel (The Enclave), a theater, and an event/entertainment center on the 51-acre Cotai Land. Key terms: (1) 60-month development window from July 22, 2026; (2) one-time additional land premium of MOP652.3M (~$80.8M) payable from available cash; (3) total annual rent of MOP9.5M (~$1.2M). </w:t>
      </w:r>
    </w:p>
    <w:p>
      <w:pPr>
        <w:pStyle w:val="ListBullet"/>
        <w:ind w:left="360" w:hanging="360"/>
      </w:pPr>
      <w:r>
        <w:rPr>
          <w:rFonts w:ascii="Calibri" w:hAnsi="Calibri"/>
          <w:b/>
          <w:color w:val="525866"/>
          <w:sz w:val="22"/>
        </w:rPr>
        <w:t xml:space="preserve">Implication: </w:t>
      </w:r>
      <w:r>
        <w:rPr>
          <w:rFonts w:ascii="Calibri" w:hAnsi="Calibri"/>
          <w:color w:val="525866"/>
          <w:sz w:val="22"/>
        </w:rPr>
        <w:t>Removes regulatory uncertainty around the Enclave project; confirms the 432-suite tower (management’s projected $150–$175M incremental EBITDA) can proceed. The 60-month window (to July 2031) provides ample time for the $900–$950M project. The $80.8M land premium is a modest incremental cost relative to the project’s projected returns.</w:t>
      </w:r>
    </w:p>
    <w:p>
      <w:pPr>
        <w:pStyle w:val="ListBullet"/>
        <w:ind w:left="360" w:hanging="360"/>
      </w:pPr>
      <w:r>
        <w:rPr>
          <w:rFonts w:ascii="Calibri" w:hAnsi="Calibri"/>
          <w:b/>
          <w:color w:val="525866"/>
          <w:sz w:val="22"/>
        </w:rPr>
        <w:t xml:space="preserve">May 7, 2026 — Q1 2026 Earnings: EBITDA Miss, UAE Delay, Enclave Announcement: </w:t>
      </w:r>
      <w:r>
        <w:rPr>
          <w:rFonts w:ascii="Calibri" w:hAnsi="Calibri"/>
          <w:color w:val="525866"/>
          <w:sz w:val="22"/>
        </w:rPr>
        <w:t xml:space="preserve">WYNN reported Q1 2026 results with EPS of $1.25 (beat vs. $1.18 consensus) and revenue of $1.86B (beat), but Adjusted Property EBITDAR of $562.4M missed consensus of $565.4M. Key negatives: (1) OpEx per day of $4.55M exceeded the $4.3–$4.5M guided range; (2) UAE opening delay flagged due to regional conflict logistics; (3) Macau VIP hold below normal. Key positive: Enclave at Wynn Palace announced ($900–$950M, 432 suites, $150–$175M projected EBITDA). </w:t>
      </w:r>
    </w:p>
    <w:p>
      <w:pPr>
        <w:pStyle w:val="ListBullet"/>
        <w:ind w:left="360" w:hanging="360"/>
      </w:pPr>
      <w:r>
        <w:rPr>
          <w:rFonts w:ascii="Calibri" w:hAnsi="Calibri"/>
          <w:b/>
          <w:color w:val="525866"/>
          <w:sz w:val="22"/>
        </w:rPr>
        <w:t xml:space="preserve">Implication: </w:t>
      </w:r>
      <w:r>
        <w:rPr>
          <w:rFonts w:ascii="Calibri" w:hAnsi="Calibri"/>
          <w:color w:val="525866"/>
          <w:sz w:val="22"/>
        </w:rPr>
        <w:t>Set the tone for Q2 — cost trajectory and UAE uncertainty are the key overhangs; Enclave is the key long-term positive catalyst.</w:t>
      </w:r>
    </w:p>
    <w:p>
      <w:pPr>
        <w:pStyle w:val="ListBullet"/>
        <w:ind w:left="360" w:hanging="360"/>
      </w:pPr>
      <w:r>
        <w:rPr>
          <w:rFonts w:ascii="Calibri" w:hAnsi="Calibri"/>
          <w:b/>
          <w:color w:val="525866"/>
          <w:sz w:val="22"/>
        </w:rPr>
        <w:t xml:space="preserve">May 8, 2026 — Annual Meeting: All Proposals Approved (8-K): </w:t>
      </w:r>
      <w:r>
        <w:rPr>
          <w:rFonts w:ascii="Calibri" w:hAnsi="Calibri"/>
          <w:color w:val="525866"/>
          <w:sz w:val="22"/>
        </w:rPr>
        <w:t xml:space="preserve">Wynn Resorts shareholders approved all proposals at the Annual General Meeting, including the Wynn Macau final dividend increase to $150M (from $125M). </w:t>
      </w:r>
    </w:p>
    <w:p>
      <w:pPr>
        <w:pStyle w:val="ListBullet"/>
        <w:ind w:left="360" w:hanging="360"/>
      </w:pPr>
      <w:r>
        <w:rPr>
          <w:rFonts w:ascii="Calibri" w:hAnsi="Calibri"/>
          <w:b/>
          <w:color w:val="525866"/>
          <w:sz w:val="22"/>
        </w:rPr>
        <w:t xml:space="preserve">Implication: </w:t>
      </w:r>
      <w:r>
        <w:rPr>
          <w:rFonts w:ascii="Calibri" w:hAnsi="Calibri"/>
          <w:color w:val="525866"/>
          <w:sz w:val="22"/>
        </w:rPr>
        <w:t>Confirms Macau cash generation confidence; incremental $25M dividend signals Wynn Macau board’s conviction in the business.</w:t>
      </w:r>
    </w:p>
    <w:p>
      <w:pPr>
        <w:pStyle w:val="ListBullet"/>
        <w:ind w:left="360" w:hanging="360"/>
      </w:pPr>
      <w:r>
        <w:rPr>
          <w:rFonts w:ascii="Calibri" w:hAnsi="Calibri"/>
          <w:b/>
          <w:color w:val="525866"/>
          <w:sz w:val="22"/>
        </w:rPr>
        <w:t xml:space="preserve">Ongoing — UAE/Wynn Al Marjan Island Construction Progress: </w:t>
      </w:r>
      <w:r>
        <w:rPr>
          <w:rFonts w:ascii="Calibri" w:hAnsi="Calibri"/>
          <w:color w:val="525866"/>
          <w:sz w:val="22"/>
        </w:rPr>
        <w:t xml:space="preserve">As of Q1 earnings (May 7), over 22,000 workers on site; construction continuing despite regional conflict (US-Iran/Israel) logistics challenges; management expects to quantify the “modest delay” in coming months; remaining equity contribution ~$350–$450M (including Janu); Janu pilings commenced. </w:t>
      </w:r>
    </w:p>
    <w:p>
      <w:pPr>
        <w:pStyle w:val="ListBullet"/>
        <w:ind w:left="360" w:hanging="360"/>
      </w:pPr>
      <w:r>
        <w:rPr>
          <w:rFonts w:ascii="Calibri" w:hAnsi="Calibri"/>
          <w:b/>
          <w:color w:val="525866"/>
          <w:sz w:val="22"/>
        </w:rPr>
        <w:t xml:space="preserve">Implication: </w:t>
      </w:r>
      <w:r>
        <w:rPr>
          <w:rFonts w:ascii="Calibri" w:hAnsi="Calibri"/>
          <w:color w:val="525866"/>
          <w:sz w:val="22"/>
        </w:rPr>
        <w:t>Q2 earnings call will likely provide the first quantification of the UAE delay — this is a key event risk. A delay of 3–6 months would be manageable; a longer delay would be a negative catalyst.</w:t>
      </w:r>
    </w:p>
    <w:p>
      <w:pPr>
        <w:pStyle w:val="ListBullet"/>
        <w:ind w:left="360" w:hanging="360"/>
      </w:pPr>
      <w:r>
        <w:rPr>
          <w:rFonts w:ascii="Calibri" w:hAnsi="Calibri"/>
          <w:b/>
          <w:color w:val="525866"/>
          <w:sz w:val="22"/>
        </w:rPr>
        <w:t xml:space="preserve">Ongoing — Las Vegas Encore Tower Remodel: </w:t>
      </w:r>
      <w:r>
        <w:rPr>
          <w:rFonts w:ascii="Calibri" w:hAnsi="Calibri"/>
          <w:color w:val="525866"/>
          <w:sz w:val="22"/>
        </w:rPr>
        <w:t xml:space="preserve">12-month remodel commenced in May 2026, taking 6 floors of inventory offline. Management expects to manage rate and occupancy to maximize EBITDA; expects to increase rate at peak periods. </w:t>
      </w:r>
    </w:p>
    <w:p>
      <w:pPr>
        <w:pStyle w:val="ListBullet"/>
        <w:ind w:left="360" w:hanging="360"/>
      </w:pPr>
      <w:r>
        <w:rPr>
          <w:rFonts w:ascii="Calibri" w:hAnsi="Calibri"/>
          <w:b/>
          <w:color w:val="525866"/>
          <w:sz w:val="22"/>
        </w:rPr>
        <w:t xml:space="preserve">Implication: </w:t>
      </w:r>
      <w:r>
        <w:rPr>
          <w:rFonts w:ascii="Calibri" w:hAnsi="Calibri"/>
          <w:color w:val="525866"/>
          <w:sz w:val="22"/>
        </w:rPr>
        <w:t>Creates a modest RevPAR headwind in Q2–Q3 2026 but should be manageable given strong group business pacing and luxury demand.</w:t>
      </w:r>
    </w:p>
    <w:p>
      <w:pPr>
        <w:pStyle w:val="ListBullet"/>
        <w:ind w:left="360" w:hanging="360"/>
      </w:pPr>
      <w:r>
        <w:rPr>
          <w:rFonts w:ascii="Calibri" w:hAnsi="Calibri"/>
          <w:b/>
          <w:color w:val="525866"/>
          <w:sz w:val="22"/>
        </w:rPr>
        <w:t xml:space="preserve">Ongoing — Macau Premium Segment Dynamics: </w:t>
      </w:r>
      <w:r>
        <w:rPr>
          <w:rFonts w:ascii="Calibri" w:hAnsi="Calibri"/>
          <w:color w:val="525866"/>
          <w:sz w:val="22"/>
        </w:rPr>
        <w:t xml:space="preserve">Chairman’s Club expansion at Wynn Palace opened in Q1 2026 to “strong customer reception”; early signs “quite good” with positive implications on hold. LVS moved from #4 to #1 in VIP rolling share in Q2, signaling intensifying premium segment competition. </w:t>
      </w:r>
    </w:p>
    <w:p>
      <w:pPr>
        <w:pStyle w:val="ListBullet"/>
        <w:ind w:left="360" w:hanging="360"/>
      </w:pPr>
      <w:r>
        <w:rPr>
          <w:rFonts w:ascii="Calibri" w:hAnsi="Calibri"/>
          <w:b/>
          <w:color w:val="525866"/>
          <w:sz w:val="22"/>
        </w:rPr>
        <w:t xml:space="preserve">Implication: </w:t>
      </w:r>
      <w:r>
        <w:rPr>
          <w:rFonts w:ascii="Calibri" w:hAnsi="Calibri"/>
          <w:color w:val="525866"/>
          <w:sz w:val="22"/>
        </w:rPr>
        <w:t>WYNN’s Chairman’s Club is a direct competitive response; the Q2 call will be watched for early data on its impact on hold and premium mass volumes.</w:t>
      </w:r>
    </w:p>
    <w:p>
      <w:pPr>
        <w:pStyle w:val="ListBullet"/>
        <w:ind w:left="360" w:hanging="360"/>
      </w:pPr>
      <w:r>
        <w:rPr>
          <w:rFonts w:ascii="Calibri" w:hAnsi="Calibri"/>
          <w:b/>
          <w:color w:val="525866"/>
          <w:sz w:val="22"/>
        </w:rPr>
        <w:t xml:space="preserve">Ongoing — Boston Labor Cost Pressures: </w:t>
      </w:r>
      <w:r>
        <w:rPr>
          <w:rFonts w:ascii="Calibri" w:hAnsi="Calibri"/>
          <w:color w:val="525866"/>
          <w:sz w:val="22"/>
        </w:rPr>
        <w:t xml:space="preserve">Management flagged wage pressures at Encore Boston Harbor as a “real challenge” on the Q1 call, with union-related payroll increases being addressed through cost efficiencies. </w:t>
      </w:r>
    </w:p>
    <w:p>
      <w:pPr>
        <w:pStyle w:val="ListBullet"/>
        <w:ind w:left="360" w:hanging="360"/>
      </w:pPr>
      <w:r>
        <w:rPr>
          <w:rFonts w:ascii="Calibri" w:hAnsi="Calibri"/>
          <w:b/>
          <w:color w:val="525866"/>
          <w:sz w:val="22"/>
        </w:rPr>
        <w:t xml:space="preserve">Implication: </w:t>
      </w:r>
      <w:r>
        <w:rPr>
          <w:rFonts w:ascii="Calibri" w:hAnsi="Calibri"/>
          <w:color w:val="525866"/>
          <w:sz w:val="22"/>
        </w:rPr>
        <w:t>Modest negative for Boston EBITDAR margins; management is actively working on offsets.</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The only insider activity since Q1 earnings is a sustained series of </w:t>
      </w:r>
      <w:r>
        <w:rPr>
          <w:rFonts w:ascii="Calibri" w:hAnsi="Calibri"/>
          <w:b/>
          <w:color w:val="525866"/>
          <w:sz w:val="22"/>
        </w:rPr>
        <w:t>call option dispositions by Tilman Fertitta (10% Owner)</w:t>
      </w:r>
      <w:r>
        <w:rPr>
          <w:rFonts w:ascii="Calibri" w:hAnsi="Calibri"/>
          <w:color w:val="525866"/>
          <w:sz w:val="22"/>
        </w:rPr>
        <w:t xml:space="preserve"> — these are obligation-driven transactions (call options requiring delivery of shares) rather than discretionary open-market sales, and do not signal a negative view on the stock.</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(Options)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Tilman J. Fertitta</w:t>
            </w:r>
          </w:p>
        </w:tc>
        <w:tc>
          <w:tcPr>
            <w:tcW w:type="dxa" w:w="1440"/>
          </w:tcPr>
          <w:p>
            <w:r>
              <w:rPr>
                <w:rFonts w:ascii="Calibri" w:hAnsi="Calibri"/>
                <w:sz w:val="22"/>
              </w:rPr>
              <w:t>10% Owner</w:t>
            </w:r>
          </w:p>
        </w:tc>
        <w:tc>
          <w:tcPr>
            <w:tcW w:type="dxa" w:w="1440"/>
          </w:tcPr>
          <w:p>
            <w:r>
              <w:rPr>
                <w:rFonts w:ascii="Calibri" w:hAnsi="Calibri"/>
                <w:sz w:val="22"/>
              </w:rPr>
              <w:t>Disposition — Call Option (obligation to sell)</w:t>
            </w:r>
          </w:p>
        </w:tc>
        <w:tc>
          <w:tcPr>
            <w:tcW w:type="dxa" w:w="1440"/>
          </w:tcPr>
          <w:p>
            <w:r>
              <w:rPr>
                <w:rFonts w:ascii="Calibri" w:hAnsi="Calibri"/>
                <w:sz w:val="22"/>
              </w:rPr>
              <w:t>300,000</w:t>
            </w:r>
          </w:p>
        </w:tc>
        <w:tc>
          <w:tcPr>
            <w:tcW w:type="dxa" w:w="1440"/>
          </w:tcPr>
          <w:p>
            <w:r>
              <w:rPr>
                <w:rFonts w:ascii="Calibri" w:hAnsi="Calibri"/>
                <w:sz w:val="22"/>
              </w:rPr>
              <w:t>Jul 27, 2026</w:t>
            </w:r>
          </w:p>
        </w:tc>
        <w:tc>
          <w:tcPr>
            <w:tcW w:type="dxa" w:w="1440"/>
          </w:tcPr>
          <w:p>
            <w:r>
              <w:rPr>
                <w:rFonts w:ascii="Calibri" w:hAnsi="Calibri"/>
                <w:sz w:val="22"/>
              </w:rPr>
              <w:t>Obligation-driven; call option exercise requiring share delivery; not a discretionary open-market sale</w:t>
            </w:r>
          </w:p>
        </w:tc>
      </w:tr>
      <w:tr>
        <w:tc>
          <w:tcPr>
            <w:tcW w:type="dxa" w:w="1440"/>
          </w:tcPr>
          <w:p>
            <w:r>
              <w:rPr>
                <w:rFonts w:ascii="Calibri" w:hAnsi="Calibri"/>
                <w:sz w:val="22"/>
              </w:rPr>
              <w:t>Tilman J. Fertitta</w:t>
            </w:r>
          </w:p>
        </w:tc>
        <w:tc>
          <w:tcPr>
            <w:tcW w:type="dxa" w:w="1440"/>
          </w:tcPr>
          <w:p>
            <w:r>
              <w:rPr>
                <w:rFonts w:ascii="Calibri" w:hAnsi="Calibri"/>
                <w:sz w:val="22"/>
              </w:rPr>
              <w:t>10% Owner</w:t>
            </w:r>
          </w:p>
        </w:tc>
        <w:tc>
          <w:tcPr>
            <w:tcW w:type="dxa" w:w="1440"/>
          </w:tcPr>
          <w:p>
            <w:r>
              <w:rPr>
                <w:rFonts w:ascii="Calibri" w:hAnsi="Calibri"/>
                <w:sz w:val="22"/>
              </w:rPr>
              <w:t>Disposition — Call Option (obligation to sell)</w:t>
            </w:r>
          </w:p>
        </w:tc>
        <w:tc>
          <w:tcPr>
            <w:tcW w:type="dxa" w:w="1440"/>
          </w:tcPr>
          <w:p>
            <w:r>
              <w:rPr>
                <w:rFonts w:ascii="Calibri" w:hAnsi="Calibri"/>
                <w:sz w:val="22"/>
              </w:rPr>
              <w:t>300,000</w:t>
            </w:r>
          </w:p>
        </w:tc>
        <w:tc>
          <w:tcPr>
            <w:tcW w:type="dxa" w:w="1440"/>
          </w:tcPr>
          <w:p>
            <w:r>
              <w:rPr>
                <w:rFonts w:ascii="Calibri" w:hAnsi="Calibri"/>
                <w:sz w:val="22"/>
              </w:rPr>
              <w:t>Jul 24, 2026</w:t>
            </w:r>
          </w:p>
        </w:tc>
        <w:tc>
          <w:tcPr>
            <w:tcW w:type="dxa" w:w="1440"/>
          </w:tcPr>
          <w:p>
            <w:r>
              <w:rPr>
                <w:rFonts w:ascii="Calibri" w:hAnsi="Calibri"/>
                <w:sz w:val="22"/>
              </w:rPr>
              <w:t>Obligation-driven; call option exercise</w:t>
            </w:r>
          </w:p>
        </w:tc>
      </w:tr>
      <w:tr>
        <w:tc>
          <w:tcPr>
            <w:tcW w:type="dxa" w:w="1440"/>
          </w:tcPr>
          <w:p>
            <w:r>
              <w:rPr>
                <w:rFonts w:ascii="Calibri" w:hAnsi="Calibri"/>
                <w:sz w:val="22"/>
              </w:rPr>
              <w:t>Tilman J. Fertitta</w:t>
            </w:r>
          </w:p>
        </w:tc>
        <w:tc>
          <w:tcPr>
            <w:tcW w:type="dxa" w:w="1440"/>
          </w:tcPr>
          <w:p>
            <w:r>
              <w:rPr>
                <w:rFonts w:ascii="Calibri" w:hAnsi="Calibri"/>
                <w:sz w:val="22"/>
              </w:rPr>
              <w:t>10% Owner</w:t>
            </w:r>
          </w:p>
        </w:tc>
        <w:tc>
          <w:tcPr>
            <w:tcW w:type="dxa" w:w="1440"/>
          </w:tcPr>
          <w:p>
            <w:r>
              <w:rPr>
                <w:rFonts w:ascii="Calibri" w:hAnsi="Calibri"/>
                <w:sz w:val="22"/>
              </w:rPr>
              <w:t>Disposition — Call Option (obligation to sell)</w:t>
            </w:r>
          </w:p>
        </w:tc>
        <w:tc>
          <w:tcPr>
            <w:tcW w:type="dxa" w:w="1440"/>
          </w:tcPr>
          <w:p>
            <w:r>
              <w:rPr>
                <w:rFonts w:ascii="Calibri" w:hAnsi="Calibri"/>
                <w:sz w:val="22"/>
              </w:rPr>
              <w:t>300,000</w:t>
            </w:r>
          </w:p>
        </w:tc>
        <w:tc>
          <w:tcPr>
            <w:tcW w:type="dxa" w:w="1440"/>
          </w:tcPr>
          <w:p>
            <w:r>
              <w:rPr>
                <w:rFonts w:ascii="Calibri" w:hAnsi="Calibri"/>
                <w:sz w:val="22"/>
              </w:rPr>
              <w:t>Jul 23, 2026</w:t>
            </w:r>
          </w:p>
        </w:tc>
        <w:tc>
          <w:tcPr>
            <w:tcW w:type="dxa" w:w="1440"/>
          </w:tcPr>
          <w:p>
            <w:r>
              <w:rPr>
                <w:rFonts w:ascii="Calibri" w:hAnsi="Calibri"/>
                <w:sz w:val="22"/>
              </w:rPr>
              <w:t>Obligation-driven; call option exercise</w:t>
            </w:r>
          </w:p>
        </w:tc>
      </w:tr>
      <w:tr>
        <w:tc>
          <w:tcPr>
            <w:tcW w:type="dxa" w:w="1440"/>
          </w:tcPr>
          <w:p>
            <w:r>
              <w:rPr>
                <w:rFonts w:ascii="Calibri" w:hAnsi="Calibri"/>
                <w:sz w:val="22"/>
              </w:rPr>
              <w:t>Tilman J. Fertitta</w:t>
            </w:r>
          </w:p>
        </w:tc>
        <w:tc>
          <w:tcPr>
            <w:tcW w:type="dxa" w:w="1440"/>
          </w:tcPr>
          <w:p>
            <w:r>
              <w:rPr>
                <w:rFonts w:ascii="Calibri" w:hAnsi="Calibri"/>
                <w:sz w:val="22"/>
              </w:rPr>
              <w:t>10% Owner</w:t>
            </w:r>
          </w:p>
        </w:tc>
        <w:tc>
          <w:tcPr>
            <w:tcW w:type="dxa" w:w="1440"/>
          </w:tcPr>
          <w:p>
            <w:r>
              <w:rPr>
                <w:rFonts w:ascii="Calibri" w:hAnsi="Calibri"/>
                <w:sz w:val="22"/>
              </w:rPr>
              <w:t>Disposition — Call Option (obligation to sell)</w:t>
            </w:r>
          </w:p>
        </w:tc>
        <w:tc>
          <w:tcPr>
            <w:tcW w:type="dxa" w:w="1440"/>
          </w:tcPr>
          <w:p>
            <w:r>
              <w:rPr>
                <w:rFonts w:ascii="Calibri" w:hAnsi="Calibri"/>
                <w:sz w:val="22"/>
              </w:rPr>
              <w:t>300,000</w:t>
            </w:r>
          </w:p>
        </w:tc>
        <w:tc>
          <w:tcPr>
            <w:tcW w:type="dxa" w:w="1440"/>
          </w:tcPr>
          <w:p>
            <w:r>
              <w:rPr>
                <w:rFonts w:ascii="Calibri" w:hAnsi="Calibri"/>
                <w:sz w:val="22"/>
              </w:rPr>
              <w:t>Jul 10, 2026</w:t>
            </w:r>
          </w:p>
        </w:tc>
        <w:tc>
          <w:tcPr>
            <w:tcW w:type="dxa" w:w="1440"/>
          </w:tcPr>
          <w:p>
            <w:r>
              <w:rPr>
                <w:rFonts w:ascii="Calibri" w:hAnsi="Calibri"/>
                <w:sz w:val="22"/>
              </w:rPr>
              <w:t>Obligation-driven; call option exercise</w:t>
            </w:r>
          </w:p>
        </w:tc>
      </w:tr>
      <w:tr>
        <w:tc>
          <w:tcPr>
            <w:tcW w:type="dxa" w:w="1440"/>
          </w:tcPr>
          <w:p>
            <w:r>
              <w:rPr>
                <w:rFonts w:ascii="Calibri" w:hAnsi="Calibri"/>
                <w:sz w:val="22"/>
              </w:rPr>
              <w:t>Tilman J. Fertitta</w:t>
            </w:r>
          </w:p>
        </w:tc>
        <w:tc>
          <w:tcPr>
            <w:tcW w:type="dxa" w:w="1440"/>
          </w:tcPr>
          <w:p>
            <w:r>
              <w:rPr>
                <w:rFonts w:ascii="Calibri" w:hAnsi="Calibri"/>
                <w:sz w:val="22"/>
              </w:rPr>
              <w:t>10% Owner</w:t>
            </w:r>
          </w:p>
        </w:tc>
        <w:tc>
          <w:tcPr>
            <w:tcW w:type="dxa" w:w="1440"/>
          </w:tcPr>
          <w:p>
            <w:r>
              <w:rPr>
                <w:rFonts w:ascii="Calibri" w:hAnsi="Calibri"/>
                <w:sz w:val="22"/>
              </w:rPr>
              <w:t>Disposition — Call Option (obligation to sell)</w:t>
            </w:r>
          </w:p>
        </w:tc>
        <w:tc>
          <w:tcPr>
            <w:tcW w:type="dxa" w:w="1440"/>
          </w:tcPr>
          <w:p>
            <w:r>
              <w:rPr>
                <w:rFonts w:ascii="Calibri" w:hAnsi="Calibri"/>
                <w:sz w:val="22"/>
              </w:rPr>
              <w:t>300,000</w:t>
            </w:r>
          </w:p>
        </w:tc>
        <w:tc>
          <w:tcPr>
            <w:tcW w:type="dxa" w:w="1440"/>
          </w:tcPr>
          <w:p>
            <w:r>
              <w:rPr>
                <w:rFonts w:ascii="Calibri" w:hAnsi="Calibri"/>
                <w:sz w:val="22"/>
              </w:rPr>
              <w:t>Jun 24, 2026</w:t>
            </w:r>
          </w:p>
        </w:tc>
        <w:tc>
          <w:tcPr>
            <w:tcW w:type="dxa" w:w="1440"/>
          </w:tcPr>
          <w:p>
            <w:r>
              <w:rPr>
                <w:rFonts w:ascii="Calibri" w:hAnsi="Calibri"/>
                <w:sz w:val="22"/>
              </w:rPr>
              <w:t>Obligation-driven; call option exercise</w:t>
            </w:r>
          </w:p>
        </w:tc>
      </w:tr>
      <w:tr>
        <w:tc>
          <w:tcPr>
            <w:tcW w:type="dxa" w:w="1440"/>
          </w:tcPr>
          <w:p>
            <w:r>
              <w:rPr>
                <w:rFonts w:ascii="Calibri" w:hAnsi="Calibri"/>
                <w:sz w:val="22"/>
              </w:rPr>
              <w:t>Tilman J. Fertitta</w:t>
            </w:r>
          </w:p>
        </w:tc>
        <w:tc>
          <w:tcPr>
            <w:tcW w:type="dxa" w:w="1440"/>
          </w:tcPr>
          <w:p>
            <w:r>
              <w:rPr>
                <w:rFonts w:ascii="Calibri" w:hAnsi="Calibri"/>
                <w:sz w:val="22"/>
              </w:rPr>
              <w:t>10% Owner</w:t>
            </w:r>
          </w:p>
        </w:tc>
        <w:tc>
          <w:tcPr>
            <w:tcW w:type="dxa" w:w="1440"/>
          </w:tcPr>
          <w:p>
            <w:r>
              <w:rPr>
                <w:rFonts w:ascii="Calibri" w:hAnsi="Calibri"/>
                <w:sz w:val="22"/>
              </w:rPr>
              <w:t>Disposition — Call Option (obligation to sell)</w:t>
            </w:r>
          </w:p>
        </w:tc>
        <w:tc>
          <w:tcPr>
            <w:tcW w:type="dxa" w:w="1440"/>
          </w:tcPr>
          <w:p>
            <w:r>
              <w:rPr>
                <w:rFonts w:ascii="Calibri" w:hAnsi="Calibri"/>
                <w:sz w:val="22"/>
              </w:rPr>
              <w:t>250,000</w:t>
            </w:r>
          </w:p>
        </w:tc>
        <w:tc>
          <w:tcPr>
            <w:tcW w:type="dxa" w:w="1440"/>
          </w:tcPr>
          <w:p>
            <w:r>
              <w:rPr>
                <w:rFonts w:ascii="Calibri" w:hAnsi="Calibri"/>
                <w:sz w:val="22"/>
              </w:rPr>
              <w:t>Jun 9, 2026</w:t>
            </w:r>
          </w:p>
        </w:tc>
        <w:tc>
          <w:tcPr>
            <w:tcW w:type="dxa" w:w="1440"/>
          </w:tcPr>
          <w:p>
            <w:r>
              <w:rPr>
                <w:rFonts w:ascii="Calibri" w:hAnsi="Calibri"/>
                <w:sz w:val="22"/>
              </w:rPr>
              <w:t>Obligation-driven; call option exercise</w:t>
            </w:r>
          </w:p>
        </w:tc>
      </w:tr>
      <w:tr>
        <w:tc>
          <w:tcPr>
            <w:tcW w:type="dxa" w:w="1440"/>
          </w:tcPr>
          <w:p>
            <w:r>
              <w:rPr>
                <w:rFonts w:ascii="Calibri" w:hAnsi="Calibri"/>
                <w:sz w:val="22"/>
              </w:rPr>
              <w:t>Tilman J. Fertitta</w:t>
            </w:r>
          </w:p>
        </w:tc>
        <w:tc>
          <w:tcPr>
            <w:tcW w:type="dxa" w:w="1440"/>
          </w:tcPr>
          <w:p>
            <w:r>
              <w:rPr>
                <w:rFonts w:ascii="Calibri" w:hAnsi="Calibri"/>
                <w:sz w:val="22"/>
              </w:rPr>
              <w:t>10% Owner</w:t>
            </w:r>
          </w:p>
        </w:tc>
        <w:tc>
          <w:tcPr>
            <w:tcW w:type="dxa" w:w="1440"/>
          </w:tcPr>
          <w:p>
            <w:r>
              <w:rPr>
                <w:rFonts w:ascii="Calibri" w:hAnsi="Calibri"/>
                <w:sz w:val="22"/>
              </w:rPr>
              <w:t>Disposition — Call Option (obligation to sell)</w:t>
            </w:r>
          </w:p>
        </w:tc>
        <w:tc>
          <w:tcPr>
            <w:tcW w:type="dxa" w:w="1440"/>
          </w:tcPr>
          <w:p>
            <w:r>
              <w:rPr>
                <w:rFonts w:ascii="Calibri" w:hAnsi="Calibri"/>
                <w:sz w:val="22"/>
              </w:rPr>
              <w:t>300,000</w:t>
            </w:r>
          </w:p>
        </w:tc>
        <w:tc>
          <w:tcPr>
            <w:tcW w:type="dxa" w:w="1440"/>
          </w:tcPr>
          <w:p>
            <w:r>
              <w:rPr>
                <w:rFonts w:ascii="Calibri" w:hAnsi="Calibri"/>
                <w:sz w:val="22"/>
              </w:rPr>
              <w:t>Jun 10, 2026</w:t>
            </w:r>
          </w:p>
        </w:tc>
        <w:tc>
          <w:tcPr>
            <w:tcW w:type="dxa" w:w="1440"/>
          </w:tcPr>
          <w:p>
            <w:r>
              <w:rPr>
                <w:rFonts w:ascii="Calibri" w:hAnsi="Calibri"/>
                <w:sz w:val="22"/>
              </w:rPr>
              <w:t>Obligation-driven; call option exercise</w:t>
            </w:r>
          </w:p>
        </w:tc>
      </w:tr>
      <w:tr>
        <w:tc>
          <w:tcPr>
            <w:tcW w:type="dxa" w:w="1440"/>
          </w:tcPr>
          <w:p>
            <w:r>
              <w:rPr>
                <w:rFonts w:ascii="Calibri" w:hAnsi="Calibri"/>
                <w:sz w:val="22"/>
              </w:rPr>
              <w:t>Tilman J. Fertitta</w:t>
            </w:r>
          </w:p>
        </w:tc>
        <w:tc>
          <w:tcPr>
            <w:tcW w:type="dxa" w:w="1440"/>
          </w:tcPr>
          <w:p>
            <w:r>
              <w:rPr>
                <w:rFonts w:ascii="Calibri" w:hAnsi="Calibri"/>
                <w:sz w:val="22"/>
              </w:rPr>
              <w:t>10% Owner</w:t>
            </w:r>
          </w:p>
        </w:tc>
        <w:tc>
          <w:tcPr>
            <w:tcW w:type="dxa" w:w="1440"/>
          </w:tcPr>
          <w:p>
            <w:r>
              <w:rPr>
                <w:rFonts w:ascii="Calibri" w:hAnsi="Calibri"/>
                <w:sz w:val="22"/>
              </w:rPr>
              <w:t>Disposition — Call Option (obligation to sell)</w:t>
            </w:r>
          </w:p>
        </w:tc>
        <w:tc>
          <w:tcPr>
            <w:tcW w:type="dxa" w:w="1440"/>
          </w:tcPr>
          <w:p>
            <w:r>
              <w:rPr>
                <w:rFonts w:ascii="Calibri" w:hAnsi="Calibri"/>
                <w:sz w:val="22"/>
              </w:rPr>
              <w:t>250,000</w:t>
            </w:r>
          </w:p>
        </w:tc>
        <w:tc>
          <w:tcPr>
            <w:tcW w:type="dxa" w:w="1440"/>
          </w:tcPr>
          <w:p>
            <w:r>
              <w:rPr>
                <w:rFonts w:ascii="Calibri" w:hAnsi="Calibri"/>
                <w:sz w:val="22"/>
              </w:rPr>
              <w:t>Jun 5, 2026</w:t>
            </w:r>
          </w:p>
        </w:tc>
        <w:tc>
          <w:tcPr>
            <w:tcW w:type="dxa" w:w="1440"/>
          </w:tcPr>
          <w:p>
            <w:r>
              <w:rPr>
                <w:rFonts w:ascii="Calibri" w:hAnsi="Calibri"/>
                <w:sz w:val="22"/>
              </w:rPr>
              <w:t>Obligation-driven; call option exercise</w:t>
            </w:r>
          </w:p>
        </w:tc>
      </w:tr>
      <w:tr>
        <w:tc>
          <w:tcPr>
            <w:tcW w:type="dxa" w:w="1440"/>
          </w:tcPr>
          <w:p>
            <w:r>
              <w:rPr>
                <w:rFonts w:ascii="Calibri" w:hAnsi="Calibri"/>
                <w:sz w:val="22"/>
              </w:rPr>
              <w:t>Tilman J. Fertitta</w:t>
            </w:r>
          </w:p>
        </w:tc>
        <w:tc>
          <w:tcPr>
            <w:tcW w:type="dxa" w:w="1440"/>
          </w:tcPr>
          <w:p>
            <w:r>
              <w:rPr>
                <w:rFonts w:ascii="Calibri" w:hAnsi="Calibri"/>
                <w:sz w:val="22"/>
              </w:rPr>
              <w:t>10% Owner</w:t>
            </w:r>
          </w:p>
        </w:tc>
        <w:tc>
          <w:tcPr>
            <w:tcW w:type="dxa" w:w="1440"/>
          </w:tcPr>
          <w:p>
            <w:r>
              <w:rPr>
                <w:rFonts w:ascii="Calibri" w:hAnsi="Calibri"/>
                <w:sz w:val="22"/>
              </w:rPr>
              <w:t>Disposition — Call Option (obligation to sell)</w:t>
            </w:r>
          </w:p>
        </w:tc>
        <w:tc>
          <w:tcPr>
            <w:tcW w:type="dxa" w:w="1440"/>
          </w:tcPr>
          <w:p>
            <w:r>
              <w:rPr>
                <w:rFonts w:ascii="Calibri" w:hAnsi="Calibri"/>
                <w:sz w:val="22"/>
              </w:rPr>
              <w:t>250,000</w:t>
            </w:r>
          </w:p>
        </w:tc>
        <w:tc>
          <w:tcPr>
            <w:tcW w:type="dxa" w:w="1440"/>
          </w:tcPr>
          <w:p>
            <w:r>
              <w:rPr>
                <w:rFonts w:ascii="Calibri" w:hAnsi="Calibri"/>
                <w:sz w:val="22"/>
              </w:rPr>
              <w:t>Jun 3, 2026</w:t>
            </w:r>
          </w:p>
        </w:tc>
        <w:tc>
          <w:tcPr>
            <w:tcW w:type="dxa" w:w="1440"/>
          </w:tcPr>
          <w:p>
            <w:r>
              <w:rPr>
                <w:rFonts w:ascii="Calibri" w:hAnsi="Calibri"/>
                <w:sz w:val="22"/>
              </w:rPr>
              <w:t>Obligation-driven; call option exercise</w:t>
            </w:r>
          </w:p>
        </w:tc>
      </w:tr>
      <w:tr>
        <w:tc>
          <w:tcPr>
            <w:tcW w:type="dxa" w:w="1440"/>
          </w:tcPr>
          <w:p>
            <w:r>
              <w:rPr>
                <w:rFonts w:ascii="Calibri" w:hAnsi="Calibri"/>
                <w:sz w:val="22"/>
              </w:rPr>
              <w:t>Tilman J. Fertitta</w:t>
            </w:r>
          </w:p>
        </w:tc>
        <w:tc>
          <w:tcPr>
            <w:tcW w:type="dxa" w:w="1440"/>
          </w:tcPr>
          <w:p>
            <w:r>
              <w:rPr>
                <w:rFonts w:ascii="Calibri" w:hAnsi="Calibri"/>
                <w:sz w:val="22"/>
              </w:rPr>
              <w:t>10% Owner</w:t>
            </w:r>
          </w:p>
        </w:tc>
        <w:tc>
          <w:tcPr>
            <w:tcW w:type="dxa" w:w="1440"/>
          </w:tcPr>
          <w:p>
            <w:r>
              <w:rPr>
                <w:rFonts w:ascii="Calibri" w:hAnsi="Calibri"/>
                <w:sz w:val="22"/>
              </w:rPr>
              <w:t>Disposition — Call Option (obligation to sell)</w:t>
            </w:r>
          </w:p>
        </w:tc>
        <w:tc>
          <w:tcPr>
            <w:tcW w:type="dxa" w:w="1440"/>
          </w:tcPr>
          <w:p>
            <w:r>
              <w:rPr>
                <w:rFonts w:ascii="Calibri" w:hAnsi="Calibri"/>
                <w:sz w:val="22"/>
              </w:rPr>
              <w:t>300,000</w:t>
            </w:r>
          </w:p>
        </w:tc>
        <w:tc>
          <w:tcPr>
            <w:tcW w:type="dxa" w:w="1440"/>
          </w:tcPr>
          <w:p>
            <w:r>
              <w:rPr>
                <w:rFonts w:ascii="Calibri" w:hAnsi="Calibri"/>
                <w:sz w:val="22"/>
              </w:rPr>
              <w:t>Jun 1, 2026</w:t>
            </w:r>
          </w:p>
        </w:tc>
        <w:tc>
          <w:tcPr>
            <w:tcW w:type="dxa" w:w="1440"/>
          </w:tcPr>
          <w:p>
            <w:r>
              <w:rPr>
                <w:rFonts w:ascii="Calibri" w:hAnsi="Calibri"/>
                <w:sz w:val="22"/>
              </w:rPr>
              <w:t>Obligation-driven; call option exercise</w:t>
            </w:r>
          </w:p>
        </w:tc>
      </w:tr>
      <w:tr>
        <w:tc>
          <w:tcPr>
            <w:tcW w:type="dxa" w:w="1440"/>
          </w:tcPr>
          <w:p>
            <w:r>
              <w:rPr>
                <w:rFonts w:ascii="Calibri" w:hAnsi="Calibri"/>
                <w:sz w:val="22"/>
              </w:rPr>
              <w:t>Tilman J. Fertitta</w:t>
            </w:r>
          </w:p>
        </w:tc>
        <w:tc>
          <w:tcPr>
            <w:tcW w:type="dxa" w:w="1440"/>
          </w:tcPr>
          <w:p>
            <w:r>
              <w:rPr>
                <w:rFonts w:ascii="Calibri" w:hAnsi="Calibri"/>
                <w:sz w:val="22"/>
              </w:rPr>
              <w:t>10% Owner</w:t>
            </w:r>
          </w:p>
        </w:tc>
        <w:tc>
          <w:tcPr>
            <w:tcW w:type="dxa" w:w="1440"/>
          </w:tcPr>
          <w:p>
            <w:r>
              <w:rPr>
                <w:rFonts w:ascii="Calibri" w:hAnsi="Calibri"/>
                <w:sz w:val="22"/>
              </w:rPr>
              <w:t>Disposition — Call Option (obligation to sell)</w:t>
            </w:r>
          </w:p>
        </w:tc>
        <w:tc>
          <w:tcPr>
            <w:tcW w:type="dxa" w:w="1440"/>
          </w:tcPr>
          <w:p>
            <w:r>
              <w:rPr>
                <w:rFonts w:ascii="Calibri" w:hAnsi="Calibri"/>
                <w:sz w:val="22"/>
              </w:rPr>
              <w:t>450,000</w:t>
            </w:r>
          </w:p>
        </w:tc>
        <w:tc>
          <w:tcPr>
            <w:tcW w:type="dxa" w:w="1440"/>
          </w:tcPr>
          <w:p>
            <w:r>
              <w:rPr>
                <w:rFonts w:ascii="Calibri" w:hAnsi="Calibri"/>
                <w:sz w:val="22"/>
              </w:rPr>
              <w:t>May 27, 2026</w:t>
            </w:r>
          </w:p>
        </w:tc>
        <w:tc>
          <w:tcPr>
            <w:tcW w:type="dxa" w:w="1440"/>
          </w:tcPr>
          <w:p>
            <w:r>
              <w:rPr>
                <w:rFonts w:ascii="Calibri" w:hAnsi="Calibri"/>
                <w:sz w:val="22"/>
              </w:rPr>
              <w:t>Obligation-driven; call option exercise</w:t>
            </w:r>
          </w:p>
        </w:tc>
      </w:tr>
      <w:tr>
        <w:tc>
          <w:tcPr>
            <w:tcW w:type="dxa" w:w="1440"/>
          </w:tcPr>
          <w:p>
            <w:r>
              <w:rPr>
                <w:rFonts w:ascii="Calibri" w:hAnsi="Calibri"/>
                <w:sz w:val="22"/>
              </w:rPr>
              <w:t>Tilman J. Fertitta</w:t>
            </w:r>
          </w:p>
        </w:tc>
        <w:tc>
          <w:tcPr>
            <w:tcW w:type="dxa" w:w="1440"/>
          </w:tcPr>
          <w:p>
            <w:r>
              <w:rPr>
                <w:rFonts w:ascii="Calibri" w:hAnsi="Calibri"/>
                <w:sz w:val="22"/>
              </w:rPr>
              <w:t>10% Owner</w:t>
            </w:r>
          </w:p>
        </w:tc>
        <w:tc>
          <w:tcPr>
            <w:tcW w:type="dxa" w:w="1440"/>
          </w:tcPr>
          <w:p>
            <w:r>
              <w:rPr>
                <w:rFonts w:ascii="Calibri" w:hAnsi="Calibri"/>
                <w:sz w:val="22"/>
              </w:rPr>
              <w:t>Disposition — Call Option (obligation to sell)</w:t>
            </w:r>
          </w:p>
        </w:tc>
        <w:tc>
          <w:tcPr>
            <w:tcW w:type="dxa" w:w="1440"/>
          </w:tcPr>
          <w:p>
            <w:r>
              <w:rPr>
                <w:rFonts w:ascii="Calibri" w:hAnsi="Calibri"/>
                <w:sz w:val="22"/>
              </w:rPr>
              <w:t>300,000</w:t>
            </w:r>
          </w:p>
        </w:tc>
        <w:tc>
          <w:tcPr>
            <w:tcW w:type="dxa" w:w="1440"/>
          </w:tcPr>
          <w:p>
            <w:r>
              <w:rPr>
                <w:rFonts w:ascii="Calibri" w:hAnsi="Calibri"/>
                <w:sz w:val="22"/>
              </w:rPr>
              <w:t>May 22, 2026</w:t>
            </w:r>
          </w:p>
        </w:tc>
        <w:tc>
          <w:tcPr>
            <w:tcW w:type="dxa" w:w="1440"/>
          </w:tcPr>
          <w:p>
            <w:r>
              <w:rPr>
                <w:rFonts w:ascii="Calibri" w:hAnsi="Calibri"/>
                <w:sz w:val="22"/>
              </w:rPr>
              <w:t>Obligation-driven; call option exercise</w:t>
            </w:r>
          </w:p>
        </w:tc>
      </w:tr>
    </w:tbl>
    <w:p>
      <w:r>
        <w:rPr>
          <w:rFonts w:ascii="Calibri" w:hAnsi="Calibri"/>
          <w:b/>
          <w:color w:val="525866"/>
          <w:sz w:val="22"/>
        </w:rPr>
        <w:t xml:space="preserve">Assessment: </w:t>
      </w:r>
      <w:r>
        <w:rPr>
          <w:rFonts w:ascii="Calibri" w:hAnsi="Calibri"/>
          <w:color w:val="525866"/>
          <w:sz w:val="22"/>
        </w:rPr>
        <w:t>All 12 transactions since Q1 earnings are dispositions of call options (obligation to sell) by Tilman Fertitta, a 10% owner — these are not discretionary open-market sales and should not be interpreted as a negative signal on the stock. No open-market purchases or discretionary sales by management (CEO, CFO, directors) were filed during the period. The absence of management open-market buying is notable given the stock’s ~8% decline since Q1 earnings, but is not unusual given the pre-earnings quiet period. The company itself has been an active buyer of its own shares ($53.8M in Q1 and an additional $30.6M in early Q2 per the Q1 earnings call), which is the more meaningful capital allocation signal.</w:t>
      </w:r>
    </w:p>
    <w:p>
      <w:r>
        <w:rPr>
          <w:rFonts w:ascii="Calibri" w:hAnsi="Calibri"/>
          <w:i/>
          <w:color w:val="525866"/>
          <w:sz w:val="22"/>
        </w:rPr>
        <w:t>Source: SEC Form 4 Filings Database. Transactions filtered to filing dates May 7 – August 3,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