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Wynn Resorts (WYNN)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Wynn Resorts, Limited</w:t>
            </w:r>
          </w:p>
        </w:tc>
      </w:tr>
      <w:tr>
        <w:tc>
          <w:tcPr>
            <w:tcW w:type="dxa" w:w="4320"/>
          </w:tcPr>
          <w:p>
            <w:r>
              <w:rPr>
                <w:rFonts w:ascii="Calibri" w:hAnsi="Calibri"/>
                <w:b/>
                <w:sz w:val="22"/>
              </w:rPr>
              <w:t>Ticker</w:t>
            </w:r>
          </w:p>
        </w:tc>
        <w:tc>
          <w:tcPr>
            <w:tcW w:type="dxa" w:w="4320"/>
          </w:tcPr>
          <w:p>
            <w:r>
              <w:rPr>
                <w:rFonts w:ascii="Calibri" w:hAnsi="Calibri"/>
                <w:sz w:val="22"/>
              </w:rPr>
              <w:t>WYNN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4:30 PM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9.3x)</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mixed-to-cautiously-constructive — consensus has been revised down since Q1 earnings, creating a lower bar, but the single biggest swing factor is </w:t>
      </w:r>
      <w:r>
        <w:rPr>
          <w:rFonts w:ascii="Calibri" w:hAnsi="Calibri"/>
          <w:b/>
          <w:color w:val="525866"/>
          <w:sz w:val="22"/>
        </w:rPr>
        <w:t>VIP hold normalization in Macau</w:t>
      </w:r>
      <w:r>
        <w:rPr>
          <w:rFonts w:ascii="Calibri" w:hAnsi="Calibri"/>
          <w:color w:val="525866"/>
          <w:sz w:val="22"/>
        </w:rPr>
        <w:t>, which alone swung EBITDAR by $17M last quarter.</w:t>
      </w:r>
    </w:p>
    <w:p>
      <w:r>
        <w:rPr>
          <w:rFonts w:ascii="Calibri" w:hAnsi="Calibri"/>
          <w:color w:val="525866"/>
          <w:sz w:val="22"/>
        </w:rPr>
        <w:t xml:space="preserve">Heading into Q2 2026, the consensus bar for WYNN has been meaningfully reset lower since the Q1 print: operating EPS estimates have fallen from $1.15 post-Q1 to $1.09 today, and Adjusted Property EBITDAR consensus has drifted from $567M to $554M — a roughly 2–3% downward revision that reflects lingering uncertainty around Macau hold, Las Vegas renovation drag from the Encore Tower remodel, and Boston labor cost pressures. </w:t>
      </w:r>
      <w:r>
        <w:rPr>
          <w:rFonts w:ascii="Calibri" w:hAnsi="Calibri"/>
          <w:b/>
          <w:color w:val="525866"/>
          <w:sz w:val="22"/>
        </w:rPr>
        <w:t>Management's tone on Las Vegas entering Q2 was explicitly bullish</w:t>
      </w:r>
      <w:r>
        <w:rPr>
          <w:rFonts w:ascii="Calibri" w:hAnsi="Calibri"/>
          <w:color w:val="525866"/>
          <w:sz w:val="22"/>
        </w:rPr>
        <w:t xml:space="preserve"> — drop and handle both running ahead of prior year in April, ADR up year-on-year, and group business pacing above 2025 on both room nights and rate — suggesting the Las Vegas segment could again be a positive surprise. In Macau, mass drop momentum carried into Q2 with volumes running ahead of last year, but the wildcard remains VIP hold: at normal hold, Macau EBITDAR would have been ~$17M higher in Q1, and any normalization in Q2 could drive a meaningful beat versus the depressed consensus. The stock has underperformed the BJK casino ETF since the Q1 print (down ~8% vs. BJK roughly flat), suggesting the market has already discounted a degree of execution risk, which creates an asymmetric setup if Macau hold normalizes and Las Vegas delivers. </w:t>
      </w:r>
      <w:r>
        <w:rPr>
          <w:rFonts w:ascii="Calibri" w:hAnsi="Calibri"/>
          <w:b/>
          <w:color w:val="525866"/>
          <w:sz w:val="22"/>
        </w:rPr>
        <w:t>The single biggest wildcard is the World Cup impact on Macau in June</w:t>
      </w:r>
      <w:r>
        <w:rPr>
          <w:rFonts w:ascii="Calibri" w:hAnsi="Calibri"/>
          <w:color w:val="525866"/>
          <w:sz w:val="22"/>
        </w:rPr>
        <w:t>: LVS and MGM both flagged a sharp June softness (LVS called it an all-time high in May followed by a clearly softer June; MGM confirmed volumes dipped coinciding with the tournament), which could weigh on Q2 Macau GGR — though both peers also confirmed a strong July rebound, suggesting the impact is transitory rather than structural.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after ~2–3% post-Q1 downward revisions. </w:t>
      </w:r>
      <w:r>
        <w:rPr>
          <w:rFonts w:ascii="Calibri" w:hAnsi="Calibri"/>
          <w:b/>
          <w:color w:val="525866"/>
          <w:sz w:val="22"/>
        </w:rPr>
        <w:t>Adjusted Property EBITDAR is the bigger swing factor</w:t>
      </w:r>
      <w:r>
        <w:rPr>
          <w:rFonts w:ascii="Calibri" w:hAnsi="Calibri"/>
          <w:color w:val="525866"/>
          <w:sz w:val="22"/>
        </w:rPr>
        <w:t xml:space="preserve"> — driven by Macau VIP hold and Las Vegas renovation timing — while operating EPS is secondary.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Mgmt Commentary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Revenues ($M)</w:t>
            </w:r>
          </w:p>
        </w:tc>
        <w:tc>
          <w:tcPr>
            <w:tcW w:type="dxa" w:w="1234"/>
          </w:tcPr>
          <w:p>
            <w:r>
              <w:rPr>
                <w:rFonts w:ascii="Calibri" w:hAnsi="Calibri"/>
                <w:sz w:val="22"/>
              </w:rPr>
              <w:t>$1,856.8</w:t>
            </w:r>
          </w:p>
        </w:tc>
        <w:tc>
          <w:tcPr>
            <w:tcW w:type="dxa" w:w="1234"/>
          </w:tcPr>
          <w:p>
            <w:r>
              <w:rPr>
                <w:rFonts w:ascii="Calibri" w:hAnsi="Calibri"/>
                <w:sz w:val="22"/>
              </w:rPr>
              <w:t>$1,737.8</w:t>
            </w:r>
          </w:p>
        </w:tc>
        <w:tc>
          <w:tcPr>
            <w:tcW w:type="dxa" w:w="1234"/>
          </w:tcPr>
          <w:p>
            <w:r>
              <w:rPr>
                <w:rFonts w:ascii="Calibri" w:hAnsi="Calibri"/>
                <w:sz w:val="22"/>
              </w:rPr>
              <w:t>$1,830.9</w:t>
            </w:r>
          </w:p>
        </w:tc>
        <w:tc>
          <w:tcPr>
            <w:tcW w:type="dxa" w:w="1234"/>
          </w:tcPr>
          <w:p>
            <w:r>
              <w:rPr>
                <w:rFonts w:ascii="Calibri" w:hAnsi="Calibri"/>
                <w:sz w:val="22"/>
              </w:rPr>
              <w:t>+5.4%</w:t>
            </w:r>
          </w:p>
        </w:tc>
        <w:tc>
          <w:tcPr>
            <w:tcW w:type="dxa" w:w="1234"/>
          </w:tcPr>
          <w:p>
            <w:r>
              <w:rPr>
                <w:rFonts w:ascii="Calibri" w:hAnsi="Calibri"/>
                <w:sz w:val="22"/>
              </w:rPr>
              <w:t>No specific Q2 guidance; mgmt bullish on LV pacing and Macau mass momentum</w:t>
            </w:r>
          </w:p>
        </w:tc>
        <w:tc>
          <w:tcPr>
            <w:tcW w:type="dxa" w:w="1234"/>
          </w:tcPr>
          <w:p>
            <w:r>
              <w:rPr>
                <w:rFonts w:ascii="Calibri" w:hAnsi="Calibri"/>
                <w:sz w:val="22"/>
              </w:rPr>
              <w:t>N/A — no formal guidance</w:t>
            </w:r>
          </w:p>
        </w:tc>
      </w:tr>
      <w:tr>
        <w:tc>
          <w:tcPr>
            <w:tcW w:type="dxa" w:w="1234"/>
          </w:tcPr>
          <w:p>
            <w:r>
              <w:rPr>
                <w:rFonts w:ascii="Calibri" w:hAnsi="Calibri"/>
                <w:sz w:val="22"/>
              </w:rPr>
              <w:t>Adj. Property EBITDAR ($M)</w:t>
            </w:r>
          </w:p>
        </w:tc>
        <w:tc>
          <w:tcPr>
            <w:tcW w:type="dxa" w:w="1234"/>
          </w:tcPr>
          <w:p>
            <w:r>
              <w:rPr>
                <w:rFonts w:ascii="Calibri" w:hAnsi="Calibri"/>
                <w:sz w:val="22"/>
              </w:rPr>
              <w:t>$562.4</w:t>
            </w:r>
          </w:p>
        </w:tc>
        <w:tc>
          <w:tcPr>
            <w:tcW w:type="dxa" w:w="1234"/>
          </w:tcPr>
          <w:p>
            <w:r>
              <w:rPr>
                <w:rFonts w:ascii="Calibri" w:hAnsi="Calibri"/>
                <w:sz w:val="22"/>
              </w:rPr>
              <w:t>$552.4</w:t>
            </w:r>
          </w:p>
        </w:tc>
        <w:tc>
          <w:tcPr>
            <w:tcW w:type="dxa" w:w="1234"/>
          </w:tcPr>
          <w:p>
            <w:r>
              <w:rPr>
                <w:rFonts w:ascii="Calibri" w:hAnsi="Calibri"/>
                <w:sz w:val="22"/>
              </w:rPr>
              <w:t>$554.2</w:t>
            </w:r>
          </w:p>
        </w:tc>
        <w:tc>
          <w:tcPr>
            <w:tcW w:type="dxa" w:w="1234"/>
          </w:tcPr>
          <w:p>
            <w:r>
              <w:rPr>
                <w:rFonts w:ascii="Calibri" w:hAnsi="Calibri"/>
                <w:sz w:val="22"/>
              </w:rPr>
              <w:t>+0.3%</w:t>
            </w:r>
          </w:p>
        </w:tc>
        <w:tc>
          <w:tcPr>
            <w:tcW w:type="dxa" w:w="1234"/>
          </w:tcPr>
          <w:p>
            <w:r>
              <w:rPr>
                <w:rFonts w:ascii="Calibri" w:hAnsi="Calibri"/>
                <w:sz w:val="22"/>
              </w:rPr>
              <w:t>No formal guidance; OpEx/day LV guided ~$4.55M+ with wage inflation; Macau OpEx ~$2.9M/day</w:t>
            </w:r>
          </w:p>
        </w:tc>
        <w:tc>
          <w:tcPr>
            <w:tcW w:type="dxa" w:w="1234"/>
          </w:tcPr>
          <w:p>
            <w:r>
              <w:rPr>
                <w:rFonts w:ascii="Calibri" w:hAnsi="Calibri"/>
                <w:sz w:val="22"/>
              </w:rPr>
              <w:t>N/A — no formal guidance</w:t>
            </w:r>
          </w:p>
        </w:tc>
      </w:tr>
      <w:tr>
        <w:tc>
          <w:tcPr>
            <w:tcW w:type="dxa" w:w="1234"/>
          </w:tcPr>
          <w:p>
            <w:r>
              <w:rPr>
                <w:rFonts w:ascii="Calibri" w:hAnsi="Calibri"/>
                <w:sz w:val="22"/>
              </w:rPr>
              <w:t>Adj. EBITDAR — Las Vegas ($M)</w:t>
            </w:r>
          </w:p>
        </w:tc>
        <w:tc>
          <w:tcPr>
            <w:tcW w:type="dxa" w:w="1234"/>
          </w:tcPr>
          <w:p>
            <w:r>
              <w:rPr>
                <w:rFonts w:ascii="Calibri" w:hAnsi="Calibri"/>
                <w:sz w:val="22"/>
              </w:rPr>
              <w:t>$232.5</w:t>
            </w:r>
          </w:p>
        </w:tc>
        <w:tc>
          <w:tcPr>
            <w:tcW w:type="dxa" w:w="1234"/>
          </w:tcPr>
          <w:p>
            <w:r>
              <w:rPr>
                <w:rFonts w:ascii="Calibri" w:hAnsi="Calibri"/>
                <w:sz w:val="22"/>
              </w:rPr>
              <w:t>$234.8</w:t>
            </w:r>
          </w:p>
        </w:tc>
        <w:tc>
          <w:tcPr>
            <w:tcW w:type="dxa" w:w="1234"/>
          </w:tcPr>
          <w:p>
            <w:r>
              <w:rPr>
                <w:rFonts w:ascii="Calibri" w:hAnsi="Calibri"/>
                <w:sz w:val="22"/>
              </w:rPr>
              <w:t>$216.0</w:t>
            </w:r>
          </w:p>
        </w:tc>
        <w:tc>
          <w:tcPr>
            <w:tcW w:type="dxa" w:w="1234"/>
          </w:tcPr>
          <w:p>
            <w:r>
              <w:rPr>
                <w:rFonts w:ascii="Calibri" w:hAnsi="Calibri"/>
                <w:sz w:val="22"/>
              </w:rPr>
              <w:t>-8.0%</w:t>
            </w:r>
          </w:p>
        </w:tc>
        <w:tc>
          <w:tcPr>
            <w:tcW w:type="dxa" w:w="1234"/>
          </w:tcPr>
          <w:p>
            <w:r>
              <w:rPr>
                <w:rFonts w:ascii="Calibri" w:hAnsi="Calibri"/>
                <w:sz w:val="22"/>
              </w:rPr>
              <w:t>Encore Tower remodel underway (6 floors offline, 12-month project); mgmt managing rate+occupancy to maximize EBITDA</w:t>
            </w:r>
          </w:p>
        </w:tc>
        <w:tc>
          <w:tcPr>
            <w:tcW w:type="dxa" w:w="1234"/>
          </w:tcPr>
          <w:p>
            <w:r>
              <w:rPr>
                <w:rFonts w:ascii="Calibri" w:hAnsi="Calibri"/>
                <w:sz w:val="22"/>
              </w:rPr>
              <w:t>N/A</w:t>
            </w:r>
          </w:p>
        </w:tc>
      </w:tr>
      <w:tr>
        <w:tc>
          <w:tcPr>
            <w:tcW w:type="dxa" w:w="1234"/>
          </w:tcPr>
          <w:p>
            <w:r>
              <w:rPr>
                <w:rFonts w:ascii="Calibri" w:hAnsi="Calibri"/>
                <w:sz w:val="22"/>
              </w:rPr>
              <w:t>Adj. EBITDAR — Macau ($M)</w:t>
            </w:r>
          </w:p>
        </w:tc>
        <w:tc>
          <w:tcPr>
            <w:tcW w:type="dxa" w:w="1234"/>
          </w:tcPr>
          <w:p>
            <w:r>
              <w:rPr>
                <w:rFonts w:ascii="Calibri" w:hAnsi="Calibri"/>
                <w:sz w:val="22"/>
              </w:rPr>
              <w:t>$279.4</w:t>
            </w:r>
          </w:p>
        </w:tc>
        <w:tc>
          <w:tcPr>
            <w:tcW w:type="dxa" w:w="1234"/>
          </w:tcPr>
          <w:p>
            <w:r>
              <w:rPr>
                <w:rFonts w:ascii="Calibri" w:hAnsi="Calibri"/>
                <w:sz w:val="22"/>
              </w:rPr>
              <w:t>$253.7</w:t>
            </w:r>
          </w:p>
        </w:tc>
        <w:tc>
          <w:tcPr>
            <w:tcW w:type="dxa" w:w="1234"/>
          </w:tcPr>
          <w:p>
            <w:r>
              <w:rPr>
                <w:rFonts w:ascii="Calibri" w:hAnsi="Calibri"/>
                <w:sz w:val="22"/>
              </w:rPr>
              <w:t>$282.8</w:t>
            </w:r>
          </w:p>
        </w:tc>
        <w:tc>
          <w:tcPr>
            <w:tcW w:type="dxa" w:w="1234"/>
          </w:tcPr>
          <w:p>
            <w:r>
              <w:rPr>
                <w:rFonts w:ascii="Calibri" w:hAnsi="Calibri"/>
                <w:sz w:val="22"/>
              </w:rPr>
              <w:t>+11.5%</w:t>
            </w:r>
          </w:p>
        </w:tc>
        <w:tc>
          <w:tcPr>
            <w:tcW w:type="dxa" w:w="1234"/>
          </w:tcPr>
          <w:p>
            <w:r>
              <w:rPr>
                <w:rFonts w:ascii="Calibri" w:hAnsi="Calibri"/>
                <w:sz w:val="22"/>
              </w:rPr>
              <w:t>Mass drop running ahead of prior year into Q2; VIP hold expected range 3.1–3.4% (Wynn Palace), 3.1–3.4% (Wynn Macau)</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$1.25</w:t>
            </w:r>
          </w:p>
        </w:tc>
        <w:tc>
          <w:tcPr>
            <w:tcW w:type="dxa" w:w="1234"/>
          </w:tcPr>
          <w:p>
            <w:r>
              <w:rPr>
                <w:rFonts w:ascii="Calibri" w:hAnsi="Calibri"/>
                <w:sz w:val="22"/>
              </w:rPr>
              <w:t>$1.09</w:t>
            </w:r>
          </w:p>
        </w:tc>
        <w:tc>
          <w:tcPr>
            <w:tcW w:type="dxa" w:w="1234"/>
          </w:tcPr>
          <w:p>
            <w:r>
              <w:rPr>
                <w:rFonts w:ascii="Calibri" w:hAnsi="Calibri"/>
                <w:sz w:val="22"/>
              </w:rPr>
              <w:t>$1.09</w:t>
            </w:r>
          </w:p>
        </w:tc>
        <w:tc>
          <w:tcPr>
            <w:tcW w:type="dxa" w:w="1234"/>
          </w:tcPr>
          <w:p>
            <w:r>
              <w:rPr>
                <w:rFonts w:ascii="Calibri" w:hAnsi="Calibri"/>
                <w:sz w:val="22"/>
              </w:rPr>
              <w:t>0.0%</w:t>
            </w:r>
          </w:p>
        </w:tc>
        <w:tc>
          <w:tcPr>
            <w:tcW w:type="dxa" w:w="1234"/>
          </w:tcPr>
          <w:p>
            <w:r>
              <w:rPr>
                <w:rFonts w:ascii="Calibri" w:hAnsi="Calibri"/>
                <w:sz w:val="22"/>
              </w:rPr>
              <w:t>No formal EPS guidance</w:t>
            </w:r>
          </w:p>
        </w:tc>
        <w:tc>
          <w:tcPr>
            <w:tcW w:type="dxa" w:w="1234"/>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Note: Q2 2026 consensus estimates as of August 3, 2026. Prior year actuals are Q2 2025 reported figures. Las Vegas EBITDAR consensus reflects renovation headwind from Encore Tower remodel (commenced May 2026, 6 floors offline for 12 months). Macau EBITDAR consensus reflects World Cup June softness partially offset by strong April/May volumes.</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EBITDAR ($M)</w:t>
            </w:r>
          </w:p>
        </w:tc>
        <w:tc>
          <w:tcPr>
            <w:tcW w:type="dxa" w:w="1440"/>
          </w:tcPr>
          <w:p>
            <w:r>
              <w:rPr>
                <w:rFonts w:ascii="Calibri" w:hAnsi="Calibri"/>
                <w:sz w:val="22"/>
              </w:rPr>
              <w:t>$562.4</w:t>
            </w:r>
          </w:p>
        </w:tc>
        <w:tc>
          <w:tcPr>
            <w:tcW w:type="dxa" w:w="1440"/>
          </w:tcPr>
          <w:p>
            <w:r>
              <w:rPr>
                <w:rFonts w:ascii="Calibri" w:hAnsi="Calibri"/>
                <w:sz w:val="22"/>
              </w:rPr>
              <w:t>$565.4</w:t>
            </w:r>
          </w:p>
        </w:tc>
        <w:tc>
          <w:tcPr>
            <w:tcW w:type="dxa" w:w="1440"/>
          </w:tcPr>
          <w:p>
            <w:r>
              <w:rPr>
                <w:rFonts w:ascii="Calibri" w:hAnsi="Calibri"/>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Op. EPS ($)</w:t>
            </w:r>
          </w:p>
        </w:tc>
        <w:tc>
          <w:tcPr>
            <w:tcW w:type="dxa" w:w="1440"/>
          </w:tcPr>
          <w:p>
            <w:r>
              <w:rPr>
                <w:rFonts w:ascii="Calibri" w:hAnsi="Calibri"/>
                <w:sz w:val="22"/>
              </w:rPr>
              <w:t>$1.25</w:t>
            </w:r>
          </w:p>
        </w:tc>
        <w:tc>
          <w:tcPr>
            <w:tcW w:type="dxa" w:w="1440"/>
          </w:tcPr>
          <w:p>
            <w:r>
              <w:rPr>
                <w:rFonts w:ascii="Calibri" w:hAnsi="Calibri"/>
                <w:sz w:val="22"/>
              </w:rPr>
              <w:t>$1.23</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EBITDAR ($M)</w:t>
            </w:r>
          </w:p>
        </w:tc>
        <w:tc>
          <w:tcPr>
            <w:tcW w:type="dxa" w:w="1440"/>
          </w:tcPr>
          <w:p>
            <w:r>
              <w:rPr>
                <w:rFonts w:ascii="Calibri" w:hAnsi="Calibri"/>
                <w:sz w:val="22"/>
              </w:rPr>
              <w:t>$568.8</w:t>
            </w:r>
          </w:p>
        </w:tc>
        <w:tc>
          <w:tcPr>
            <w:tcW w:type="dxa" w:w="1440"/>
          </w:tcPr>
          <w:p>
            <w:r>
              <w:rPr>
                <w:rFonts w:ascii="Calibri" w:hAnsi="Calibri"/>
                <w:sz w:val="22"/>
              </w:rPr>
              <w:t>$587.2</w:t>
            </w:r>
          </w:p>
        </w:tc>
        <w:tc>
          <w:tcPr>
            <w:tcW w:type="dxa" w:w="1440"/>
          </w:tcPr>
          <w:p>
            <w:r>
              <w:rPr>
                <w:rFonts w:ascii="Calibri" w:hAnsi="Calibri"/>
                <w:sz w:val="22"/>
              </w:rPr>
              <w:t>-3.1%</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Op. EPS ($)</w:t>
            </w:r>
          </w:p>
        </w:tc>
        <w:tc>
          <w:tcPr>
            <w:tcW w:type="dxa" w:w="1440"/>
          </w:tcPr>
          <w:p>
            <w:r>
              <w:rPr>
                <w:rFonts w:ascii="Calibri" w:hAnsi="Calibri"/>
                <w:sz w:val="22"/>
              </w:rPr>
              <w:t>$1.17</w:t>
            </w:r>
          </w:p>
        </w:tc>
        <w:tc>
          <w:tcPr>
            <w:tcW w:type="dxa" w:w="1440"/>
          </w:tcPr>
          <w:p>
            <w:r>
              <w:rPr>
                <w:rFonts w:ascii="Calibri" w:hAnsi="Calibri"/>
                <w:sz w:val="22"/>
              </w:rPr>
              <w:t>$1.49</w:t>
            </w:r>
          </w:p>
        </w:tc>
        <w:tc>
          <w:tcPr>
            <w:tcW w:type="dxa" w:w="1440"/>
          </w:tcPr>
          <w:p>
            <w:r>
              <w:rPr>
                <w:rFonts w:ascii="Calibri" w:hAnsi="Calibri"/>
                <w:sz w:val="22"/>
              </w:rPr>
              <w:t>-21.5%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EBITDAR ($M)</w:t>
            </w:r>
          </w:p>
        </w:tc>
        <w:tc>
          <w:tcPr>
            <w:tcW w:type="dxa" w:w="1440"/>
          </w:tcPr>
          <w:p>
            <w:r>
              <w:rPr>
                <w:rFonts w:ascii="Calibri" w:hAnsi="Calibri"/>
                <w:sz w:val="22"/>
              </w:rPr>
              <w:t>$570.1</w:t>
            </w:r>
          </w:p>
        </w:tc>
        <w:tc>
          <w:tcPr>
            <w:tcW w:type="dxa" w:w="1440"/>
          </w:tcPr>
          <w:p>
            <w:r>
              <w:rPr>
                <w:rFonts w:ascii="Calibri" w:hAnsi="Calibri"/>
                <w:sz w:val="22"/>
              </w:rPr>
              <w:t>$545.8</w:t>
            </w:r>
          </w:p>
        </w:tc>
        <w:tc>
          <w:tcPr>
            <w:tcW w:type="dxa" w:w="1440"/>
          </w:tcPr>
          <w:p>
            <w:r>
              <w:rPr>
                <w:rFonts w:ascii="Calibri" w:hAnsi="Calibri"/>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 ($)</w:t>
            </w:r>
          </w:p>
        </w:tc>
        <w:tc>
          <w:tcPr>
            <w:tcW w:type="dxa" w:w="1440"/>
          </w:tcPr>
          <w:p>
            <w:r>
              <w:rPr>
                <w:rFonts w:ascii="Calibri" w:hAnsi="Calibri"/>
                <w:sz w:val="22"/>
              </w:rPr>
              <w:t>$0.86</w:t>
            </w:r>
          </w:p>
        </w:tc>
        <w:tc>
          <w:tcPr>
            <w:tcW w:type="dxa" w:w="1440"/>
          </w:tcPr>
          <w:p>
            <w:r>
              <w:rPr>
                <w:rFonts w:ascii="Calibri" w:hAnsi="Calibri"/>
                <w:sz w:val="22"/>
              </w:rPr>
              <w:t>$1.21</w:t>
            </w:r>
          </w:p>
        </w:tc>
        <w:tc>
          <w:tcPr>
            <w:tcW w:type="dxa" w:w="1440"/>
          </w:tcPr>
          <w:p>
            <w:r>
              <w:rPr>
                <w:rFonts w:ascii="Calibri" w:hAnsi="Calibri"/>
                <w:sz w:val="22"/>
              </w:rPr>
              <w:t>-28.9%</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EBITDAR ($M)</w:t>
            </w:r>
          </w:p>
        </w:tc>
        <w:tc>
          <w:tcPr>
            <w:tcW w:type="dxa" w:w="1440"/>
          </w:tcPr>
          <w:p>
            <w:r>
              <w:rPr>
                <w:rFonts w:ascii="Calibri" w:hAnsi="Calibri"/>
                <w:sz w:val="22"/>
              </w:rPr>
              <w:t>$552.4</w:t>
            </w:r>
          </w:p>
        </w:tc>
        <w:tc>
          <w:tcPr>
            <w:tcW w:type="dxa" w:w="1440"/>
          </w:tcPr>
          <w:p>
            <w:r>
              <w:rPr>
                <w:rFonts w:ascii="Calibri" w:hAnsi="Calibri"/>
                <w:sz w:val="22"/>
              </w:rPr>
              <w:t>$553.1</w:t>
            </w:r>
          </w:p>
        </w:tc>
        <w:tc>
          <w:tcPr>
            <w:tcW w:type="dxa" w:w="1440"/>
          </w:tcPr>
          <w:p>
            <w:r>
              <w:rPr>
                <w:rFonts w:ascii="Calibri" w:hAnsi="Calibri"/>
                <w:sz w:val="22"/>
              </w:rPr>
              <w:t>-0.1%</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Op. EPS ($)</w:t>
            </w:r>
          </w:p>
        </w:tc>
        <w:tc>
          <w:tcPr>
            <w:tcW w:type="dxa" w:w="1440"/>
          </w:tcPr>
          <w:p>
            <w:r>
              <w:rPr>
                <w:rFonts w:ascii="Calibri" w:hAnsi="Calibri"/>
                <w:sz w:val="22"/>
              </w:rPr>
              <w:t>$1.09</w:t>
            </w:r>
          </w:p>
        </w:tc>
        <w:tc>
          <w:tcPr>
            <w:tcW w:type="dxa" w:w="1440"/>
          </w:tcPr>
          <w:p>
            <w:r>
              <w:rPr>
                <w:rFonts w:ascii="Calibri" w:hAnsi="Calibri"/>
                <w:sz w:val="22"/>
              </w:rPr>
              <w:t>$1.28</w:t>
            </w:r>
          </w:p>
        </w:tc>
        <w:tc>
          <w:tcPr>
            <w:tcW w:type="dxa" w:w="1440"/>
          </w:tcPr>
          <w:p>
            <w:r>
              <w:rPr>
                <w:rFonts w:ascii="Calibri" w:hAnsi="Calibri"/>
                <w:sz w:val="22"/>
              </w:rPr>
              <w:t>-14.8%</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EBITDAR ($M)</w:t>
            </w:r>
          </w:p>
        </w:tc>
        <w:tc>
          <w:tcPr>
            <w:tcW w:type="dxa" w:w="1440"/>
          </w:tcPr>
          <w:p>
            <w:r>
              <w:rPr>
                <w:rFonts w:ascii="Calibri" w:hAnsi="Calibri"/>
                <w:sz w:val="22"/>
              </w:rPr>
              <w:t>$532.9</w:t>
            </w:r>
          </w:p>
        </w:tc>
        <w:tc>
          <w:tcPr>
            <w:tcW w:type="dxa" w:w="1440"/>
          </w:tcPr>
          <w:p>
            <w:r>
              <w:rPr>
                <w:rFonts w:ascii="Calibri" w:hAnsi="Calibri"/>
                <w:sz w:val="22"/>
              </w:rPr>
              <w:t>$563.0</w:t>
            </w:r>
          </w:p>
        </w:tc>
        <w:tc>
          <w:tcPr>
            <w:tcW w:type="dxa" w:w="1440"/>
          </w:tcPr>
          <w:p>
            <w:r>
              <w:rPr>
                <w:rFonts w:ascii="Calibri" w:hAnsi="Calibri"/>
                <w:sz w:val="22"/>
              </w:rPr>
              <w:t>-5.3%</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Op. EPS ($)</w:t>
            </w:r>
          </w:p>
        </w:tc>
        <w:tc>
          <w:tcPr>
            <w:tcW w:type="dxa" w:w="1440"/>
          </w:tcPr>
          <w:p>
            <w:r>
              <w:rPr>
                <w:rFonts w:ascii="Calibri" w:hAnsi="Calibri"/>
                <w:sz w:val="22"/>
              </w:rPr>
              <w:t>$1.07</w:t>
            </w:r>
          </w:p>
        </w:tc>
        <w:tc>
          <w:tcPr>
            <w:tcW w:type="dxa" w:w="1440"/>
          </w:tcPr>
          <w:p>
            <w:r>
              <w:rPr>
                <w:rFonts w:ascii="Calibri" w:hAnsi="Calibri"/>
                <w:sz w:val="22"/>
              </w:rPr>
              <w:t>$1.26</w:t>
            </w:r>
          </w:p>
        </w:tc>
        <w:tc>
          <w:tcPr>
            <w:tcW w:type="dxa" w:w="1440"/>
          </w:tcPr>
          <w:p>
            <w:r>
              <w:rPr>
                <w:rFonts w:ascii="Calibri" w:hAnsi="Calibri"/>
                <w:sz w:val="22"/>
              </w:rPr>
              <w:t>-15.1%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EBITDAR ($M)</w:t>
            </w:r>
          </w:p>
        </w:tc>
        <w:tc>
          <w:tcPr>
            <w:tcW w:type="dxa" w:w="1440"/>
          </w:tcPr>
          <w:p>
            <w:r>
              <w:rPr>
                <w:rFonts w:ascii="Calibri" w:hAnsi="Calibri"/>
                <w:sz w:val="22"/>
              </w:rPr>
              <w:t>$619.1</w:t>
            </w:r>
          </w:p>
        </w:tc>
        <w:tc>
          <w:tcPr>
            <w:tcW w:type="dxa" w:w="1440"/>
          </w:tcPr>
          <w:p>
            <w:r>
              <w:rPr>
                <w:rFonts w:ascii="Calibri" w:hAnsi="Calibri"/>
                <w:sz w:val="22"/>
              </w:rPr>
              <w:t>$570.7</w:t>
            </w:r>
          </w:p>
        </w:tc>
        <w:tc>
          <w:tcPr>
            <w:tcW w:type="dxa" w:w="1440"/>
          </w:tcPr>
          <w:p>
            <w:r>
              <w:rPr>
                <w:rFonts w:ascii="Calibri" w:hAnsi="Calibri"/>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EPS ($)</w:t>
            </w:r>
          </w:p>
        </w:tc>
        <w:tc>
          <w:tcPr>
            <w:tcW w:type="dxa" w:w="1440"/>
          </w:tcPr>
          <w:p>
            <w:r>
              <w:rPr>
                <w:rFonts w:ascii="Calibri" w:hAnsi="Calibri"/>
                <w:sz w:val="22"/>
              </w:rPr>
              <w:t>$2.42</w:t>
            </w:r>
          </w:p>
        </w:tc>
        <w:tc>
          <w:tcPr>
            <w:tcW w:type="dxa" w:w="1440"/>
          </w:tcPr>
          <w:p>
            <w:r>
              <w:rPr>
                <w:rFonts w:ascii="Calibri" w:hAnsi="Calibri"/>
                <w:sz w:val="22"/>
              </w:rPr>
              <w:t>$1.34</w:t>
            </w:r>
          </w:p>
        </w:tc>
        <w:tc>
          <w:tcPr>
            <w:tcW w:type="dxa" w:w="1440"/>
          </w:tcPr>
          <w:p>
            <w:r>
              <w:rPr>
                <w:rFonts w:ascii="Calibri" w:hAnsi="Calibri"/>
                <w:sz w:val="22"/>
              </w:rPr>
              <w:t>+80.6%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EBITDAR ($M)</w:t>
            </w:r>
          </w:p>
        </w:tc>
        <w:tc>
          <w:tcPr>
            <w:tcW w:type="dxa" w:w="1440"/>
          </w:tcPr>
          <w:p>
            <w:r>
              <w:rPr>
                <w:rFonts w:ascii="Calibri" w:hAnsi="Calibri"/>
                <w:sz w:val="22"/>
              </w:rPr>
              <w:t>$527.7</w:t>
            </w:r>
          </w:p>
        </w:tc>
        <w:tc>
          <w:tcPr>
            <w:tcW w:type="dxa" w:w="1440"/>
          </w:tcPr>
          <w:p>
            <w:r>
              <w:rPr>
                <w:rFonts w:ascii="Calibri" w:hAnsi="Calibri"/>
                <w:sz w:val="22"/>
              </w:rPr>
              <w:t>$552.5</w:t>
            </w:r>
          </w:p>
        </w:tc>
        <w:tc>
          <w:tcPr>
            <w:tcW w:type="dxa" w:w="1440"/>
          </w:tcPr>
          <w:p>
            <w:r>
              <w:rPr>
                <w:rFonts w:ascii="Calibri" w:hAnsi="Calibri"/>
                <w:sz w:val="22"/>
              </w:rPr>
              <w:t>-4.5%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EPS ($)</w:t>
            </w:r>
          </w:p>
        </w:tc>
        <w:tc>
          <w:tcPr>
            <w:tcW w:type="dxa" w:w="1440"/>
          </w:tcPr>
          <w:p>
            <w:r>
              <w:rPr>
                <w:rFonts w:ascii="Calibri" w:hAnsi="Calibri"/>
                <w:sz w:val="22"/>
              </w:rPr>
              <w:t>$0.90</w:t>
            </w:r>
          </w:p>
        </w:tc>
        <w:tc>
          <w:tcPr>
            <w:tcW w:type="dxa" w:w="1440"/>
          </w:tcPr>
          <w:p>
            <w:r>
              <w:rPr>
                <w:rFonts w:ascii="Calibri" w:hAnsi="Calibri"/>
                <w:sz w:val="22"/>
              </w:rPr>
              <w:t>$1.09</w:t>
            </w:r>
          </w:p>
        </w:tc>
        <w:tc>
          <w:tcPr>
            <w:tcW w:type="dxa" w:w="1440"/>
          </w:tcPr>
          <w:p>
            <w:r>
              <w:rPr>
                <w:rFonts w:ascii="Calibri" w:hAnsi="Calibri"/>
                <w:sz w:val="22"/>
              </w:rPr>
              <w:t>-17.4%</w:t>
            </w:r>
          </w:p>
        </w:tc>
        <w:tc>
          <w:tcPr>
            <w:tcW w:type="dxa" w:w="1440"/>
          </w:tcPr>
          <w:p>
            <w:r>
              <w:rPr>
                <w:rFonts w:ascii="Calibri" w:hAnsi="Calibri"/>
                <w:b/>
                <w:color w:val="E5484D"/>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Pattern: WYNN has a persistent EBITDAR miss pattern driven by VIP hold volatility in Macau — 6 of the last 8 quarters missed on EBITDAR. EPS beats are rare and tend to coincide with favorable hold quarters (Q4 2024 was an extreme outlier). The Q1 2026 EPS beat was the first in five quarters, but the EBITDAR miss continued, underscoring that hold normalization is the key variable.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numerical guidance has been revised since the Q1 2026 earnings call (May 7, 2026). Management's tone on Las Vegas and Macau mass is constructive, but the </w:t>
      </w:r>
      <w:r>
        <w:rPr>
          <w:rFonts w:ascii="Calibri" w:hAnsi="Calibri"/>
          <w:b/>
          <w:color w:val="525866"/>
          <w:sz w:val="22"/>
        </w:rPr>
        <w:t>UAE opening delay</w:t>
      </w:r>
      <w:r>
        <w:rPr>
          <w:rFonts w:ascii="Calibri" w:hAnsi="Calibri"/>
          <w:color w:val="525866"/>
          <w:sz w:val="22"/>
        </w:rPr>
        <w:t xml:space="preserve"> and </w:t>
      </w:r>
      <w:r>
        <w:rPr>
          <w:rFonts w:ascii="Calibri" w:hAnsi="Calibri"/>
          <w:b/>
          <w:color w:val="525866"/>
          <w:sz w:val="22"/>
        </w:rPr>
        <w:t>Boston labor cost pressure</w:t>
      </w:r>
      <w:r>
        <w:rPr>
          <w:rFonts w:ascii="Calibri" w:hAnsi="Calibri"/>
          <w:color w:val="525866"/>
          <w:sz w:val="22"/>
        </w:rPr>
        <w:t xml:space="preserve"> remain unresolved headwinds. The Macau land concession amendment (July 22, 2026) is a positive structural development.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LV OpEx/Day (ex-gaming tax)</w:t>
            </w:r>
          </w:p>
        </w:tc>
        <w:tc>
          <w:tcPr>
            <w:tcW w:type="dxa" w:w="1728"/>
          </w:tcPr>
          <w:p>
            <w:r>
              <w:rPr>
                <w:rFonts w:ascii="Calibri" w:hAnsi="Calibri"/>
                <w:sz w:val="22"/>
              </w:rPr>
              <w:t>~$4.55M+ (Q1 actual); wage inflation + new outlet staffing (Zero Bond, Sartiano’s, PISCES) driving ~6–7% YoY growth</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Unchanged; F&amp;B cost pressure flagged as new headwind from food price volatility</w:t>
            </w:r>
          </w:p>
        </w:tc>
      </w:tr>
      <w:tr>
        <w:tc>
          <w:tcPr>
            <w:tcW w:type="dxa" w:w="1728"/>
          </w:tcPr>
          <w:p>
            <w:r>
              <w:rPr>
                <w:rFonts w:ascii="Calibri" w:hAnsi="Calibri"/>
                <w:sz w:val="22"/>
              </w:rPr>
              <w:t>Encore Tower Remodel</w:t>
            </w:r>
          </w:p>
        </w:tc>
        <w:tc>
          <w:tcPr>
            <w:tcW w:type="dxa" w:w="1728"/>
          </w:tcPr>
          <w:p>
            <w:r>
              <w:rPr>
                <w:rFonts w:ascii="Calibri" w:hAnsi="Calibri"/>
                <w:sz w:val="22"/>
              </w:rPr>
              <w:t>12-month project; 6 floors offline; commenced ~May 2026; working around peak occupancy periods into early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mgmt expects to capture rate on compressed inventory during peak periods</w:t>
            </w:r>
          </w:p>
        </w:tc>
      </w:tr>
      <w:tr>
        <w:tc>
          <w:tcPr>
            <w:tcW w:type="dxa" w:w="1728"/>
          </w:tcPr>
          <w:p>
            <w:r>
              <w:rPr>
                <w:rFonts w:ascii="Calibri" w:hAnsi="Calibri"/>
                <w:sz w:val="22"/>
              </w:rPr>
              <w:t>2026 Expansionary CapEx</w:t>
            </w:r>
          </w:p>
        </w:tc>
        <w:tc>
          <w:tcPr>
            <w:tcW w:type="dxa" w:w="1728"/>
          </w:tcPr>
          <w:p>
            <w:r>
              <w:rPr>
                <w:rFonts w:ascii="Calibri" w:hAnsi="Calibri"/>
                <w:sz w:val="22"/>
              </w:rPr>
              <w:t>$400M–$450M (includes initial Enclave piling + other projects)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Enclave at Wynn Palace ($900M–$950M total) announced Q1; 2026 spend limited to piling/early works</w:t>
            </w:r>
          </w:p>
        </w:tc>
      </w:tr>
      <w:tr>
        <w:tc>
          <w:tcPr>
            <w:tcW w:type="dxa" w:w="1728"/>
          </w:tcPr>
          <w:p>
            <w:r>
              <w:rPr>
                <w:rFonts w:ascii="Calibri" w:hAnsi="Calibri"/>
                <w:sz w:val="22"/>
              </w:rPr>
              <w:t>UAE Opening Timeline</w:t>
            </w:r>
          </w:p>
        </w:tc>
        <w:tc>
          <w:tcPr>
            <w:tcW w:type="dxa" w:w="1728"/>
          </w:tcPr>
          <w:p>
            <w:r>
              <w:rPr>
                <w:rFonts w:ascii="Calibri" w:hAnsi="Calibri"/>
                <w:sz w:val="22"/>
              </w:rPr>
              <w:t>2027 opening; “modest delay” to be quantified in coming months; logistical/shipping challenges from regional conflict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mgmt declined to revise EBITDA targets; remaining equity contribution ~$350M–$450M (incl. Janu)</w:t>
            </w:r>
          </w:p>
        </w:tc>
      </w:tr>
      <w:tr>
        <w:tc>
          <w:tcPr>
            <w:tcW w:type="dxa" w:w="1728"/>
          </w:tcPr>
          <w:p>
            <w:r>
              <w:rPr>
                <w:rFonts w:ascii="Calibri" w:hAnsi="Calibri"/>
                <w:sz w:val="22"/>
              </w:rPr>
              <w:t>Macau Dividend (Wynn Macau)</w:t>
            </w:r>
          </w:p>
        </w:tc>
        <w:tc>
          <w:tcPr>
            <w:tcW w:type="dxa" w:w="1728"/>
          </w:tcPr>
          <w:p>
            <w:r>
              <w:rPr>
                <w:rFonts w:ascii="Calibri" w:hAnsi="Calibri"/>
                <w:sz w:val="22"/>
              </w:rPr>
              <w:t>Final 2025 dividend raised to $150M (from $125M prior period); subject to shareholder approval May 28,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Approved; signals confidence in Macau cash generation</w:t>
            </w:r>
          </w:p>
        </w:tc>
      </w:tr>
      <w:tr>
        <w:tc>
          <w:tcPr>
            <w:tcW w:type="dxa" w:w="1728"/>
          </w:tcPr>
          <w:p>
            <w:r>
              <w:rPr>
                <w:rFonts w:ascii="Calibri" w:hAnsi="Calibri"/>
                <w:sz w:val="22"/>
              </w:rPr>
              <w:t>Macau Land Concession (Cotai)</w:t>
            </w:r>
          </w:p>
        </w:tc>
        <w:tc>
          <w:tcPr>
            <w:tcW w:type="dxa" w:w="1728"/>
          </w:tcPr>
          <w:p>
            <w:r>
              <w:rPr>
                <w:rFonts w:ascii="Calibri" w:hAnsi="Calibri"/>
                <w:sz w:val="22"/>
              </w:rPr>
              <w:t>N/A (post-Q1 development)</w:t>
            </w:r>
          </w:p>
        </w:tc>
        <w:tc>
          <w:tcPr>
            <w:tcW w:type="dxa" w:w="1728"/>
          </w:tcPr>
          <w:p>
            <w:r>
              <w:rPr>
                <w:rFonts w:ascii="Calibri" w:hAnsi="Calibri"/>
                <w:sz w:val="22"/>
              </w:rPr>
              <w:t>Amended land concession signed July 22, 2026; grants permission to expand Wynn Palace (new hotel, theater, event center); 60-month build window; one-time land premium MOP652.3M (~$80.8M)</w:t>
            </w:r>
          </w:p>
        </w:tc>
        <w:tc>
          <w:tcPr>
            <w:tcW w:type="dxa" w:w="1728"/>
          </w:tcPr>
          <w:p>
            <w:r>
              <w:rPr>
                <w:rFonts w:ascii="Calibri" w:hAnsi="Calibri"/>
                <w:sz w:val="22"/>
              </w:rPr>
              <w:t>N/A</w:t>
            </w:r>
          </w:p>
        </w:tc>
        <w:tc>
          <w:tcPr>
            <w:tcW w:type="dxa" w:w="1728"/>
          </w:tcPr>
          <w:p>
            <w:r>
              <w:rPr>
                <w:rFonts w:ascii="Calibri" w:hAnsi="Calibri"/>
                <w:sz w:val="22"/>
              </w:rPr>
              <w:t>↑ Positive structural development; formalizes Enclave expansion rights; additional annual rent ~$1.2M; 8-K filed July 22, 2026</w:t>
            </w:r>
          </w:p>
        </w:tc>
      </w:tr>
      <w:tr>
        <w:tc>
          <w:tcPr>
            <w:tcW w:type="dxa" w:w="1728"/>
          </w:tcPr>
          <w:p>
            <w:r>
              <w:rPr>
                <w:rFonts w:ascii="Calibri" w:hAnsi="Calibri"/>
                <w:sz w:val="22"/>
              </w:rPr>
              <w:t>WYNN Quarterly Dividend</w:t>
            </w:r>
          </w:p>
        </w:tc>
        <w:tc>
          <w:tcPr>
            <w:tcW w:type="dxa" w:w="1728"/>
          </w:tcPr>
          <w:p>
            <w:r>
              <w:rPr>
                <w:rFonts w:ascii="Calibri" w:hAnsi="Calibri"/>
                <w:sz w:val="22"/>
              </w:rPr>
              <w:t>$0.25/share declared; payable May 29,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consistent with prior quarters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lower since the Q1 print across both the upcoming quarter and full year, with </w:t>
      </w:r>
      <w:r>
        <w:rPr>
          <w:rFonts w:ascii="Calibri" w:hAnsi="Calibri"/>
          <w:b/>
          <w:color w:val="525866"/>
          <w:sz w:val="22"/>
        </w:rPr>
        <w:t>Q2 2026 EPS down ~5.5% and EBITDAR down ~2.2% from the post-Q1 baseline</w:t>
      </w:r>
      <w:r>
        <w:rPr>
          <w:rFonts w:ascii="Calibri" w:hAnsi="Calibri"/>
          <w:color w:val="525866"/>
          <w:sz w:val="22"/>
        </w:rPr>
        <w:t>. The revision trend is modestly negative but the magnitude is contained, suggesting the street has already absorbed the renovation drag and hold uncertainty — leaving room for a positive surprise if Macau hold normalizes.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14, 2026 — ~5 days post-Q1)</w:t>
            </w:r>
          </w:p>
        </w:tc>
        <w:tc>
          <w:tcPr>
            <w:tcW w:type="dxa" w:w="1080"/>
            <w:shd w:val="clear" w:color="auto" w:fill="3B4259"/>
          </w:tcPr>
          <w:p>
            <w:r>
              <w:rPr>
                <w:rFonts w:ascii="Calibri" w:hAnsi="Calibri"/>
                <w:b/>
                <w:color w:val="FFFFFF"/>
                <w:sz w:val="22"/>
              </w:rPr>
              <w:t>Current Estimate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Op. EPS — Q2 2026</w:t>
            </w:r>
          </w:p>
        </w:tc>
        <w:tc>
          <w:tcPr>
            <w:tcW w:type="dxa" w:w="1080"/>
          </w:tcPr>
          <w:p>
            <w:r>
              <w:rPr>
                <w:rFonts w:ascii="Calibri" w:hAnsi="Calibri"/>
                <w:sz w:val="22"/>
              </w:rPr>
              <w:t>$1.151</w:t>
            </w:r>
          </w:p>
        </w:tc>
        <w:tc>
          <w:tcPr>
            <w:tcW w:type="dxa" w:w="1080"/>
          </w:tcPr>
          <w:p>
            <w:r>
              <w:rPr>
                <w:rFonts w:ascii="Calibri" w:hAnsi="Calibri"/>
                <w:sz w:val="22"/>
              </w:rPr>
              <w:t>$1.088</w:t>
            </w:r>
          </w:p>
        </w:tc>
        <w:tc>
          <w:tcPr>
            <w:tcW w:type="dxa" w:w="1080"/>
          </w:tcPr>
          <w:p>
            <w:r>
              <w:rPr>
                <w:rFonts w:ascii="Calibri" w:hAnsi="Calibri"/>
                <w:b/>
                <w:color w:val="E5484D"/>
                <w:sz w:val="22"/>
              </w:rPr>
              <w:t>-5.5%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 2026</w:t>
            </w:r>
          </w:p>
        </w:tc>
        <w:tc>
          <w:tcPr>
            <w:tcW w:type="dxa" w:w="1080"/>
          </w:tcPr>
          <w:p>
            <w:r>
              <w:rPr>
                <w:rFonts w:ascii="Calibri" w:hAnsi="Calibri"/>
                <w:sz w:val="22"/>
              </w:rPr>
              <w:t>$4.867</w:t>
            </w:r>
          </w:p>
        </w:tc>
        <w:tc>
          <w:tcPr>
            <w:tcW w:type="dxa" w:w="1080"/>
          </w:tcPr>
          <w:p>
            <w:r>
              <w:rPr>
                <w:rFonts w:ascii="Calibri" w:hAnsi="Calibri"/>
                <w:sz w:val="22"/>
              </w:rPr>
              <w:t>$4.810</w:t>
            </w:r>
          </w:p>
        </w:tc>
        <w:tc>
          <w:tcPr>
            <w:tcW w:type="dxa" w:w="1080"/>
          </w:tcPr>
          <w:p>
            <w:r>
              <w:rPr>
                <w:rFonts w:ascii="Calibri" w:hAnsi="Calibri"/>
                <w:b/>
                <w:color w:val="E5484D"/>
                <w:sz w:val="22"/>
              </w:rPr>
              <w:t>-1.2%</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EBITDAR — Q2 2026 ($M)</w:t>
            </w:r>
          </w:p>
        </w:tc>
        <w:tc>
          <w:tcPr>
            <w:tcW w:type="dxa" w:w="1080"/>
          </w:tcPr>
          <w:p>
            <w:r>
              <w:rPr>
                <w:rFonts w:ascii="Calibri" w:hAnsi="Calibri"/>
                <w:sz w:val="22"/>
              </w:rPr>
              <w:t>$566.6</w:t>
            </w:r>
          </w:p>
        </w:tc>
        <w:tc>
          <w:tcPr>
            <w:tcW w:type="dxa" w:w="1080"/>
          </w:tcPr>
          <w:p>
            <w:r>
              <w:rPr>
                <w:rFonts w:ascii="Calibri" w:hAnsi="Calibri"/>
                <w:sz w:val="22"/>
              </w:rPr>
              <w:t>$554.2</w:t>
            </w:r>
          </w:p>
        </w:tc>
        <w:tc>
          <w:tcPr>
            <w:tcW w:type="dxa" w:w="1080"/>
          </w:tcPr>
          <w:p>
            <w:r>
              <w:rPr>
                <w:rFonts w:ascii="Calibri" w:hAnsi="Calibri"/>
                <w:b/>
                <w:color w:val="E5484D"/>
                <w:sz w:val="22"/>
              </w:rPr>
              <w:t>-2.2%</w:t>
            </w:r>
          </w:p>
        </w:tc>
        <w:tc>
          <w:tcPr>
            <w:tcW w:type="dxa" w:w="1080"/>
          </w:tcPr>
          <w:p>
            <w:r>
              <w:rPr>
                <w:rFonts w:ascii="Calibri" w:hAnsi="Calibri"/>
                <w:sz w:val="22"/>
              </w:rPr>
              <w:t>No formal guidance; OpEx/day ~$4.55M+ (LV), ~$2.9M/day (Macau)</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EBITDAR — FY 2026 ($M)</w:t>
            </w:r>
          </w:p>
        </w:tc>
        <w:tc>
          <w:tcPr>
            <w:tcW w:type="dxa" w:w="1080"/>
          </w:tcPr>
          <w:p>
            <w:r>
              <w:rPr>
                <w:rFonts w:ascii="Calibri" w:hAnsi="Calibri"/>
                <w:sz w:val="22"/>
              </w:rPr>
              <w:t>$2,282.4</w:t>
            </w:r>
          </w:p>
        </w:tc>
        <w:tc>
          <w:tcPr>
            <w:tcW w:type="dxa" w:w="1080"/>
          </w:tcPr>
          <w:p>
            <w:r>
              <w:rPr>
                <w:rFonts w:ascii="Calibri" w:hAnsi="Calibri"/>
                <w:sz w:val="22"/>
              </w:rPr>
              <w:t>$2,260.6</w:t>
            </w:r>
          </w:p>
        </w:tc>
        <w:tc>
          <w:tcPr>
            <w:tcW w:type="dxa" w:w="1080"/>
          </w:tcPr>
          <w:p>
            <w:r>
              <w:rPr>
                <w:rFonts w:ascii="Calibri" w:hAnsi="Calibri"/>
                <w:b/>
                <w:color w:val="E5484D"/>
                <w:sz w:val="22"/>
              </w:rPr>
              <w:t>-1.0%</w:t>
            </w:r>
          </w:p>
        </w:tc>
        <w:tc>
          <w:tcPr>
            <w:tcW w:type="dxa" w:w="1080"/>
          </w:tcPr>
          <w:p>
            <w:r>
              <w:rPr>
                <w:rFonts w:ascii="Calibri" w:hAnsi="Calibri"/>
                <w:sz w:val="22"/>
              </w:rPr>
              <w:t>No formal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Revision trajectory: Estimates peaked in early June (EPS $1.169, EBITDAR $564M) before drifting lower through July as the World Cup Macau impact became apparent. The most recent weekly revision (week of July 24) saw the sharpest single-week decline, suggesting sell-side models are now incorporating the June Macau softness. The FY 2026 revision is modest (-1.0% on EBITDAR), implying the street views the Q2 weakness as largely transitory.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WYNN has underperformed both the BJK casino ETF and the S&amp;P 500 since the Q1 print, driven primarily by </w:t>
      </w:r>
      <w:r>
        <w:rPr>
          <w:rFonts w:ascii="Calibri" w:hAnsi="Calibri"/>
          <w:b/>
          <w:color w:val="525866"/>
          <w:sz w:val="22"/>
        </w:rPr>
        <w:t>multiple compression</w:t>
      </w:r>
      <w:r>
        <w:rPr>
          <w:rFonts w:ascii="Calibri" w:hAnsi="Calibri"/>
          <w:color w:val="525866"/>
          <w:sz w:val="22"/>
        </w:rPr>
        <w:t xml:space="preserve"> (EV/EBITDA contracted ~2.2% over 3 months) rather than estimate cuts alone — suggesting sentiment/risk premium is the primary drag, not fundamentals.</w:t>
      </w:r>
    </w:p>
    <w:p>
      <w:r>
        <w:rPr>
          <w:rFonts w:ascii="Calibri" w:hAnsi="Calibri"/>
          <w:color w:val="525866"/>
          <w:sz w:val="22"/>
        </w:rPr>
        <w:t xml:space="preserve">Since the Q1 2026 earnings date (May 7, 2026), WYNN closed at $106.85 and has since declined to $98.36 as of August 4, 2026 — a loss of approximately </w:t>
      </w:r>
      <w:r>
        <w:rPr>
          <w:rFonts w:ascii="Calibri" w:hAnsi="Calibri"/>
          <w:b/>
          <w:color w:val="525866"/>
          <w:sz w:val="22"/>
        </w:rPr>
        <w:t>-7.9%</w:t>
      </w:r>
      <w:r>
        <w:rPr>
          <w:rFonts w:ascii="Calibri" w:hAnsi="Calibri"/>
          <w:color w:val="525866"/>
          <w:sz w:val="22"/>
        </w:rPr>
        <w:t>. Over the same period, the BJK casino ETF gained approximately +3.4% (from $36.03 to $37.23), and the S&amp;P 500 (SPY) gained approximately +3.6% (from $731.58 to $757.67). WYNN has therefore underperformed BJK by roughly 11 percentage points and the S&amp;P 500 by roughly 11.5 percentage points since the Q1 print. The underperformance is concentrated in two phases: (1) an immediate post-Q1 selloff from $106.85 to ~$95 in the first two weeks, driven by the EBITDA miss and UAE delay announcement; and (2) a partial recovery to ~$107 in early June before a second leg lower through July as World Cup Macau concerns weighed. The stock has stabilized in the $95–$101 range since late June. NTM EV/EBITDA has compressed from ~9.5x to ~9.3x over the past 3 months, consistent with the stock performance decomposition showing multiple contraction as the primary driver of the 3-month -7.2% return.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WYNN</w:t>
            </w:r>
          </w:p>
        </w:tc>
        <w:tc>
          <w:tcPr>
            <w:tcW w:type="dxa" w:w="1440"/>
            <w:shd w:val="clear" w:color="auto" w:fill="3B4259"/>
          </w:tcPr>
          <w:p>
            <w:r>
              <w:rPr>
                <w:rFonts w:ascii="Calibri" w:hAnsi="Calibri"/>
                <w:b/>
                <w:color w:val="FFFFFF"/>
                <w:sz w:val="22"/>
              </w:rPr>
              <w:t>BJK (Casino ETF)</w:t>
            </w:r>
          </w:p>
        </w:tc>
        <w:tc>
          <w:tcPr>
            <w:tcW w:type="dxa" w:w="1440"/>
            <w:shd w:val="clear" w:color="auto" w:fill="3B4259"/>
          </w:tcPr>
          <w:p>
            <w:r>
              <w:rPr>
                <w:rFonts w:ascii="Calibri" w:hAnsi="Calibri"/>
                <w:b/>
                <w:color w:val="FFFFFF"/>
                <w:sz w:val="22"/>
              </w:rPr>
              <w:t>SPY (S&amp;P 500)</w:t>
            </w:r>
          </w:p>
        </w:tc>
        <w:tc>
          <w:tcPr>
            <w:tcW w:type="dxa" w:w="1440"/>
            <w:shd w:val="clear" w:color="auto" w:fill="3B4259"/>
          </w:tcPr>
          <w:p>
            <w:r>
              <w:rPr>
                <w:rFonts w:ascii="Calibri" w:hAnsi="Calibri"/>
                <w:b/>
                <w:color w:val="FFFFFF"/>
                <w:sz w:val="22"/>
              </w:rPr>
              <w:t>WYNN vs. BJK</w:t>
            </w:r>
          </w:p>
        </w:tc>
        <w:tc>
          <w:tcPr>
            <w:tcW w:type="dxa" w:w="1440"/>
            <w:shd w:val="clear" w:color="auto" w:fill="3B4259"/>
          </w:tcPr>
          <w:p>
            <w:r>
              <w:rPr>
                <w:rFonts w:ascii="Calibri" w:hAnsi="Calibri"/>
                <w:b/>
                <w:color w:val="FFFFFF"/>
                <w:sz w:val="22"/>
              </w:rPr>
              <w:t>WYNN vs. SPY</w:t>
            </w:r>
          </w:p>
        </w:tc>
      </w:tr>
      <w:tr>
        <w:tc>
          <w:tcPr>
            <w:tcW w:type="dxa" w:w="1440"/>
          </w:tcPr>
          <w:p>
            <w:r>
              <w:rPr>
                <w:rFonts w:ascii="Calibri" w:hAnsi="Calibri"/>
                <w:sz w:val="22"/>
              </w:rPr>
              <w:t>Since Q1 Earnings (May 7 → Aug 4)</w:t>
            </w:r>
          </w:p>
        </w:tc>
        <w:tc>
          <w:tcPr>
            <w:tcW w:type="dxa" w:w="1440"/>
          </w:tcPr>
          <w:p>
            <w:r>
              <w:rPr>
                <w:rFonts w:ascii="Calibri" w:hAnsi="Calibri"/>
                <w:sz w:val="22"/>
              </w:rPr>
              <w:t>-7.9%</w:t>
            </w:r>
          </w:p>
        </w:tc>
        <w:tc>
          <w:tcPr>
            <w:tcW w:type="dxa" w:w="1440"/>
          </w:tcPr>
          <w:p>
            <w:r>
              <w:rPr>
                <w:rFonts w:ascii="Calibri" w:hAnsi="Calibri"/>
                <w:sz w:val="22"/>
              </w:rPr>
              <w:t>+3.4%</w:t>
            </w:r>
          </w:p>
        </w:tc>
        <w:tc>
          <w:tcPr>
            <w:tcW w:type="dxa" w:w="1440"/>
          </w:tcPr>
          <w:p>
            <w:r>
              <w:rPr>
                <w:rFonts w:ascii="Calibri" w:hAnsi="Calibri"/>
                <w:sz w:val="22"/>
              </w:rPr>
              <w:t>+3.6%</w:t>
            </w:r>
          </w:p>
        </w:tc>
        <w:tc>
          <w:tcPr>
            <w:tcW w:type="dxa" w:w="1440"/>
          </w:tcPr>
          <w:p>
            <w:r>
              <w:rPr>
                <w:rFonts w:ascii="Calibri" w:hAnsi="Calibri"/>
                <w:b/>
                <w:color w:val="E5484D"/>
                <w:sz w:val="22"/>
              </w:rPr>
              <w:t>-11.3 pp</w:t>
            </w:r>
          </w:p>
        </w:tc>
        <w:tc>
          <w:tcPr>
            <w:tcW w:type="dxa" w:w="1440"/>
          </w:tcPr>
          <w:p>
            <w:r>
              <w:rPr>
                <w:rFonts w:ascii="Calibri" w:hAnsi="Calibri"/>
                <w:b/>
                <w:color w:val="E5484D"/>
                <w:sz w:val="22"/>
              </w:rPr>
              <w:t>-11.5 pp</w:t>
            </w:r>
          </w:p>
        </w:tc>
      </w:tr>
      <w:tr>
        <w:tc>
          <w:tcPr>
            <w:tcW w:type="dxa" w:w="1440"/>
          </w:tcPr>
          <w:p>
            <w:r>
              <w:rPr>
                <w:rFonts w:ascii="Calibri" w:hAnsi="Calibri"/>
                <w:sz w:val="22"/>
              </w:rPr>
              <w:t>1 Month (to Aug 3)</w:t>
            </w:r>
          </w:p>
        </w:tc>
        <w:tc>
          <w:tcPr>
            <w:tcW w:type="dxa" w:w="1440"/>
          </w:tcPr>
          <w:p>
            <w:r>
              <w:rPr>
                <w:rFonts w:ascii="Calibri" w:hAnsi="Calibri"/>
                <w:sz w:val="22"/>
              </w:rPr>
              <w:t>+2.6%</w:t>
            </w:r>
          </w:p>
        </w:tc>
        <w:tc>
          <w:tcPr>
            <w:tcW w:type="dxa" w:w="1440"/>
          </w:tcPr>
          <w:p>
            <w:r>
              <w:rPr>
                <w:rFonts w:ascii="Calibri" w:hAnsi="Calibri"/>
                <w:sz w:val="22"/>
              </w:rPr>
              <w:t>~-2.1%</w:t>
            </w:r>
          </w:p>
        </w:tc>
        <w:tc>
          <w:tcPr>
            <w:tcW w:type="dxa" w:w="1440"/>
          </w:tcPr>
          <w:p>
            <w:r>
              <w:rPr>
                <w:rFonts w:ascii="Calibri" w:hAnsi="Calibri"/>
                <w:sz w:val="22"/>
              </w:rPr>
              <w:t>+2.4%</w:t>
            </w:r>
          </w:p>
        </w:tc>
        <w:tc>
          <w:tcPr>
            <w:tcW w:type="dxa" w:w="1440"/>
          </w:tcPr>
          <w:p>
            <w:r>
              <w:rPr>
                <w:rFonts w:ascii="Calibri" w:hAnsi="Calibri"/>
                <w:b/>
                <w:color w:val="30A46C"/>
                <w:sz w:val="22"/>
              </w:rPr>
              <w:t>+4.7 pp</w:t>
            </w:r>
          </w:p>
        </w:tc>
        <w:tc>
          <w:tcPr>
            <w:tcW w:type="dxa" w:w="1440"/>
          </w:tcPr>
          <w:p>
            <w:r>
              <w:rPr>
                <w:rFonts w:ascii="Calibri" w:hAnsi="Calibri"/>
                <w:sz w:val="22"/>
              </w:rPr>
              <w:t>+0.2 pp</w:t>
            </w:r>
          </w:p>
        </w:tc>
      </w:tr>
      <w:tr>
        <w:tc>
          <w:tcPr>
            <w:tcW w:type="dxa" w:w="1440"/>
          </w:tcPr>
          <w:p>
            <w:r>
              <w:rPr>
                <w:rFonts w:ascii="Calibri" w:hAnsi="Calibri"/>
                <w:sz w:val="22"/>
              </w:rPr>
              <w:t>NTM EV/EBITDA (current)</w:t>
            </w:r>
          </w:p>
        </w:tc>
        <w:tc>
          <w:tcPr>
            <w:tcW w:type="dxa" w:w="1440"/>
          </w:tcPr>
          <w:p>
            <w:r>
              <w:rPr>
                <w:rFonts w:ascii="Calibri" w:hAnsi="Calibri"/>
                <w:sz w:val="22"/>
              </w:rPr>
              <w:t>9.3x</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i/>
          <w:color w:val="525866"/>
          <w:sz w:val="22"/>
        </w:rPr>
        <w:t xml:space="preserve">Source: Yahoo Finance (stock prices); Visible Alpha (NTM multiples). BJK = VanEck Gaming ETF (primary casino/gaming sector benchmark). </w:t>
      </w:r>
      <w:r>
        <w:rPr>
          <w:rFonts w:ascii="Calibri" w:hAnsi="Calibri"/>
          <w:i/>
          <w:color w:val="525866"/>
          <w:sz w:val="22"/>
        </w:rPr>
        <w:t>Key events since May 7: (1) Q1 2026 earnings miss on EBITDAR + UAE delay announcement drove immediate -8% selloff; (2) Macau land concession amendment (July 22) was a positive catalyst; (3) World Cup Macau softness weighed through late June/July.</w:t>
      </w:r>
    </w:p>
    <w:p>
      <w:r>
        <w:br w:type="page"/>
      </w:r>
    </w:p>
    <w:p>
      <w:pPr>
        <w:pStyle w:val="Heading2"/>
      </w:pPr>
      <w:r>
        <w:rPr>
          <w:rFonts w:ascii="Calibri" w:hAnsi="Calibri"/>
          <w:b/>
          <w:color w:val="3B4259"/>
          <w:sz w:val="28"/>
        </w:rPr>
        <w:t>6. Peer Commentary — Current-Quarter Read-Through</w:t>
      </w:r>
    </w:p>
    <w:p>
      <w:r>
        <w:rPr>
          <w:rFonts w:ascii="Calibri" w:hAnsi="Calibri"/>
          <w:b/>
          <w:color w:val="525866"/>
          <w:sz w:val="22"/>
        </w:rPr>
        <w:t xml:space="preserve">Key Takeaway: </w:t>
      </w:r>
      <w:r>
        <w:rPr>
          <w:rFonts w:ascii="Calibri" w:hAnsi="Calibri"/>
          <w:color w:val="525866"/>
          <w:sz w:val="22"/>
        </w:rPr>
        <w:t xml:space="preserve">LVS and MGM Q2 2026 earnings calls (July 22 and July 29, respectively) provide the most relevant read-through for WYNN’s Q2 2026 print. The dominant themes are: </w:t>
      </w:r>
      <w:r>
        <w:rPr>
          <w:rFonts w:ascii="Calibri" w:hAnsi="Calibri"/>
          <w:b/>
          <w:color w:val="525866"/>
          <w:sz w:val="22"/>
        </w:rPr>
        <w:t>(1) World Cup caused a sharp but transitory June Macau softness with a strong July rebound</w:t>
      </w:r>
      <w:r>
        <w:rPr>
          <w:rFonts w:ascii="Calibri" w:hAnsi="Calibri"/>
          <w:color w:val="525866"/>
          <w:sz w:val="22"/>
        </w:rPr>
        <w:t>; (2) Las Vegas luxury demand remains resilient with strong group/convention pacing; and (3) Macau opex growth is moderating. All three themes are directly applicable to WYNN’s Q2 setup.</w:t>
      </w:r>
    </w:p>
    <w:p>
      <w:r>
        <w:rPr>
          <w:rFonts w:ascii="Calibri" w:hAnsi="Calibri"/>
          <w:i/>
          <w:color w:val="525866"/>
          <w:sz w:val="22"/>
        </w:rPr>
        <w:t>Note: Only commentary from LVS (Q2 2026 earnings, July 22, 2026) and MGM (Q2 2026 earnings, July 29, 2026) is included below, as these are the only peers that reported Q2 2026 results within the last 60 days and provided forward-looking commentary directly applicable to WYNN’s current reporting quarter. All commentary below is forward-looking or describes conditions during the Q2 2026 period (April–June 2026) or early Q3 2026 trends.</w:t>
      </w:r>
    </w:p>
    <w:p>
      <w:pPr>
        <w:pStyle w:val="Heading3"/>
      </w:pPr>
      <w:r>
        <w:rPr>
          <w:rFonts w:ascii="Calibri" w:hAnsi="Calibri"/>
          <w:b/>
          <w:color w:val="3B4259"/>
          <w:sz w:val="24"/>
        </w:rPr>
        <w:t>LVS — Q2 2026 Earnings Call (July 22, 2026)</w:t>
      </w:r>
    </w:p>
    <w:p>
      <w:pPr>
        <w:pStyle w:val="Heading4"/>
      </w:pPr>
      <w:r>
        <w:rPr>
          <w:rFonts w:ascii="Calibri" w:hAnsi="Calibri"/>
          <w:b/>
          <w:color w:val="3B4259"/>
          <w:sz w:val="22"/>
        </w:rPr>
        <w:t>Macau: World Cup June Softness + Strong H2 Event Calendar</w:t>
      </w:r>
    </w:p>
    <w:p>
      <w:pPr>
        <w:pStyle w:val="ListBullet"/>
        <w:ind w:left="360" w:hanging="360"/>
      </w:pPr>
      <w:r>
        <w:rPr>
          <w:rFonts w:ascii="Calibri" w:hAnsi="Calibri"/>
          <w:color w:val="525866"/>
          <w:sz w:val="22"/>
        </w:rPr>
        <w:t>Macau volumes very strong in April and May — May was an all-time high for Sands China in monthly mass GGR. June was “clearly softer” with “some impact from World Cup.”</w:t>
      </w:r>
    </w:p>
    <w:p>
      <w:pPr>
        <w:pStyle w:val="ListBullet"/>
        <w:ind w:left="360" w:hanging="360"/>
      </w:pPr>
      <w:r>
        <w:rPr>
          <w:rFonts w:ascii="Calibri" w:hAnsi="Calibri"/>
          <w:b/>
          <w:color w:val="525866"/>
          <w:sz w:val="22"/>
        </w:rPr>
        <w:t xml:space="preserve">Read-through for WYNN: </w:t>
      </w:r>
      <w:r>
        <w:rPr>
          <w:rFonts w:ascii="Calibri" w:hAnsi="Calibri"/>
          <w:color w:val="525866"/>
          <w:sz w:val="22"/>
        </w:rPr>
        <w:t>WYNN’s Q2 Macau EBITDAR consensus of $282.8M likely already reflects June softness, but the magnitude of the May high vs. June dip will determine whether the quarter beats or misses. LVS’s all-time high May mass GGR is a positive signal for WYNN’s mass drop trajectory.</w:t>
      </w:r>
    </w:p>
    <w:p>
      <w:pPr>
        <w:pStyle w:val="ListBullet"/>
        <w:ind w:left="360" w:hanging="360"/>
      </w:pPr>
      <w:r>
        <w:rPr>
          <w:rFonts w:ascii="Calibri" w:hAnsi="Calibri"/>
          <w:b/>
          <w:color w:val="525866"/>
          <w:sz w:val="22"/>
        </w:rPr>
        <w:t xml:space="preserve">H2 outlook: </w:t>
      </w:r>
      <w:r>
        <w:rPr>
          <w:rFonts w:ascii="Calibri" w:hAnsi="Calibri"/>
          <w:color w:val="525866"/>
          <w:sz w:val="22"/>
        </w:rPr>
        <w:t>Sands China President Grant Chum stated the second half will see “much higher levels of passenger volume” vs. the seasonally softer Q2, with a “very strong lineup” of events and concerts in August, September, and NBA games in October. This is a positive read-through for WYNN’s Q3 2026 Macau setup.</w:t>
      </w:r>
    </w:p>
    <w:p>
      <w:pPr>
        <w:pStyle w:val="ListBullet"/>
        <w:ind w:left="360" w:hanging="360"/>
      </w:pPr>
      <w:r>
        <w:rPr>
          <w:rFonts w:ascii="Calibri" w:hAnsi="Calibri"/>
          <w:b/>
          <w:color w:val="525866"/>
          <w:sz w:val="22"/>
        </w:rPr>
        <w:t xml:space="preserve">Opex moderation: </w:t>
      </w:r>
      <w:r>
        <w:rPr>
          <w:rFonts w:ascii="Calibri" w:hAnsi="Calibri"/>
          <w:color w:val="525866"/>
          <w:sz w:val="22"/>
        </w:rPr>
        <w:t>Chum guided that “the rate of opex growth to moderate into the second half” and into 2027, with the “big step change” in investments (table hours, sales network, service elevation) largely complete. This is a positive read-through for WYNN’s Macau margin trajectory, as WYNN’s Macau opex grew 9.9% YoY in Q1 2026.</w:t>
      </w:r>
    </w:p>
    <w:p>
      <w:pPr>
        <w:pStyle w:val="ListBullet"/>
        <w:ind w:left="360" w:hanging="360"/>
      </w:pPr>
      <w:r>
        <w:rPr>
          <w:rFonts w:ascii="Calibri" w:hAnsi="Calibri"/>
          <w:b/>
          <w:color w:val="525866"/>
          <w:sz w:val="22"/>
        </w:rPr>
        <w:t xml:space="preserve">Competitive landscape: </w:t>
      </w:r>
      <w:r>
        <w:rPr>
          <w:rFonts w:ascii="Calibri" w:hAnsi="Calibri"/>
          <w:color w:val="525866"/>
          <w:sz w:val="22"/>
        </w:rPr>
        <w:t>Chum stated Sands “does not see any significant change in the competitive landscape as far as reinvestment is concerned” — a reassuring signal that promotional intensity is not escalating, which benefits WYNN’s premium positioning.</w:t>
      </w:r>
    </w:p>
    <w:p>
      <w:pPr>
        <w:pStyle w:val="ListBullet"/>
        <w:ind w:left="360" w:hanging="360"/>
      </w:pPr>
      <w:r>
        <w:rPr>
          <w:rFonts w:ascii="Calibri" w:hAnsi="Calibri"/>
          <w:b/>
          <w:color w:val="525866"/>
          <w:sz w:val="22"/>
        </w:rPr>
        <w:t xml:space="preserve">Post-World Cup snapback: </w:t>
      </w:r>
      <w:r>
        <w:rPr>
          <w:rFonts w:ascii="Calibri" w:hAnsi="Calibri"/>
          <w:color w:val="525866"/>
          <w:sz w:val="22"/>
        </w:rPr>
        <w:t>LVS CEO Patrick Dumont noted it was “a little early to tell you about any snapback” given the World Cup had only recently concluded, but expressed confidence patrons would return. This is consistent with MGM’s more explicit July rebound commentary (see below).</w:t>
      </w:r>
    </w:p>
    <w:p>
      <w:pPr>
        <w:pStyle w:val="Heading4"/>
      </w:pPr>
      <w:r>
        <w:rPr>
          <w:rFonts w:ascii="Calibri" w:hAnsi="Calibri"/>
          <w:b/>
          <w:color w:val="3B4259"/>
          <w:sz w:val="22"/>
        </w:rPr>
        <w:t>LVS Q2 2026 Results Context (for calibration only)</w:t>
      </w:r>
    </w:p>
    <w:p>
      <w:pPr>
        <w:pStyle w:val="ListBullet"/>
        <w:ind w:left="360" w:hanging="360"/>
      </w:pPr>
      <w:r>
        <w:rPr>
          <w:rFonts w:ascii="Calibri" w:hAnsi="Calibri"/>
          <w:b/>
          <w:color w:val="525866"/>
          <w:sz w:val="22"/>
        </w:rPr>
        <w:t xml:space="preserve">LVS Q2 2026 reported: </w:t>
      </w:r>
      <w:r>
        <w:rPr>
          <w:rFonts w:ascii="Calibri" w:hAnsi="Calibri"/>
          <w:color w:val="525866"/>
          <w:sz w:val="22"/>
        </w:rPr>
        <w:t>Revenue $3.15B vs. $3.3B consensus; Adj. Property EBITDA $1.11B vs. $1.3B consensus — a significant miss driven by unusually low VIP hold in Macau rolling play and World Cup June softness. LVS repurchased $787M of stock and increased buyback authorization to $6B (~20% of market cap).</w:t>
      </w:r>
    </w:p>
    <w:p>
      <w:pPr>
        <w:pStyle w:val="ListBullet"/>
        <w:ind w:left="360" w:hanging="360"/>
      </w:pPr>
      <w:r>
        <w:rPr>
          <w:rFonts w:ascii="Calibri" w:hAnsi="Calibri"/>
          <w:b/>
          <w:color w:val="525866"/>
          <w:sz w:val="22"/>
        </w:rPr>
        <w:t xml:space="preserve">Implication for WYNN: </w:t>
      </w:r>
      <w:r>
        <w:rPr>
          <w:rFonts w:ascii="Calibri" w:hAnsi="Calibri"/>
          <w:color w:val="525866"/>
          <w:sz w:val="22"/>
        </w:rPr>
        <w:t>LVS’s EBITDA miss on hold and World Cup is a cautionary signal for WYNN’s Q2 Macau EBITDAR. However, WYNN’s consensus has already been revised down ~2.2% since the Q1 print, suggesting some of this risk is priced in.</w:t>
      </w:r>
    </w:p>
    <w:p>
      <w:pPr>
        <w:pStyle w:val="Heading3"/>
      </w:pPr>
      <w:r>
        <w:rPr>
          <w:rFonts w:ascii="Calibri" w:hAnsi="Calibri"/>
          <w:b/>
          <w:color w:val="3B4259"/>
          <w:sz w:val="24"/>
        </w:rPr>
        <w:t>MGM — Q2 2026 Earnings Call (July 29, 2026)</w:t>
      </w:r>
    </w:p>
    <w:p>
      <w:pPr>
        <w:pStyle w:val="Heading4"/>
      </w:pPr>
      <w:r>
        <w:rPr>
          <w:rFonts w:ascii="Calibri" w:hAnsi="Calibri"/>
          <w:b/>
          <w:color w:val="3B4259"/>
          <w:sz w:val="22"/>
        </w:rPr>
        <w:t>Macau: Transitory World Cup Dip, Strong July Rebound</w:t>
      </w:r>
    </w:p>
    <w:p>
      <w:pPr>
        <w:pStyle w:val="ListBullet"/>
        <w:ind w:left="360" w:hanging="360"/>
      </w:pPr>
      <w:r>
        <w:rPr>
          <w:rFonts w:ascii="Calibri" w:hAnsi="Calibri"/>
          <w:b/>
          <w:color w:val="525866"/>
          <w:sz w:val="22"/>
        </w:rPr>
        <w:t xml:space="preserve">MGM CEO Bill Hornbuckle: </w:t>
      </w:r>
      <w:r>
        <w:rPr>
          <w:rFonts w:ascii="Calibri" w:hAnsi="Calibri"/>
          <w:color w:val="525866"/>
          <w:sz w:val="22"/>
        </w:rPr>
        <w:t>“While the World Cup temporarily impacted June volumes in Macau, this was a transitory event rather than a secular shift. Our confidence is reinforced by the immediate and encouraging rebound in volumes observed post-tournament.”</w:t>
      </w:r>
    </w:p>
    <w:p>
      <w:pPr>
        <w:pStyle w:val="ListBullet"/>
        <w:ind w:left="360" w:hanging="360"/>
      </w:pPr>
      <w:r>
        <w:rPr>
          <w:rFonts w:ascii="Calibri" w:hAnsi="Calibri"/>
          <w:b/>
          <w:color w:val="525866"/>
          <w:sz w:val="22"/>
        </w:rPr>
        <w:t xml:space="preserve">MGM China CEO Kenneth Fang: </w:t>
      </w:r>
      <w:r>
        <w:rPr>
          <w:rFonts w:ascii="Calibri" w:hAnsi="Calibri"/>
          <w:color w:val="525866"/>
          <w:sz w:val="22"/>
        </w:rPr>
        <w:t>“Both visitations and even the business volumes have strongly picked up since even the second week of July… We believe Macau gaming revenue last week and the entire market had recovered nearly to Q1 levels, and at MGM, both property visitations and normalized GGR have already exceeded Q1 levels.”</w:t>
      </w:r>
    </w:p>
    <w:p>
      <w:pPr>
        <w:pStyle w:val="ListBullet"/>
        <w:ind w:left="360" w:hanging="360"/>
      </w:pPr>
      <w:r>
        <w:rPr>
          <w:rFonts w:ascii="Calibri" w:hAnsi="Calibri"/>
          <w:b/>
          <w:color w:val="525866"/>
          <w:sz w:val="22"/>
        </w:rPr>
        <w:t xml:space="preserve">Read-through for WYNN: </w:t>
      </w:r>
      <w:r>
        <w:rPr>
          <w:rFonts w:ascii="Calibri" w:hAnsi="Calibri"/>
          <w:color w:val="525866"/>
          <w:sz w:val="22"/>
        </w:rPr>
        <w:t>The July rebound is a strong positive signal for WYNN’s Q3 2026 Macau setup. For Q2, the June dip is confirmed as real but transitory. WYNN’s Q2 Macau EBITDAR will depend on the net of strong April/May vs. soft June.</w:t>
      </w:r>
    </w:p>
    <w:p>
      <w:pPr>
        <w:pStyle w:val="ListBullet"/>
        <w:ind w:left="360" w:hanging="360"/>
      </w:pPr>
      <w:r>
        <w:rPr>
          <w:rFonts w:ascii="Calibri" w:hAnsi="Calibri"/>
          <w:b/>
          <w:color w:val="525866"/>
          <w:sz w:val="22"/>
        </w:rPr>
        <w:t xml:space="preserve">H2 Macau events: </w:t>
      </w:r>
      <w:r>
        <w:rPr>
          <w:rFonts w:ascii="Calibri" w:hAnsi="Calibri"/>
          <w:color w:val="525866"/>
          <w:sz w:val="22"/>
        </w:rPr>
        <w:t>Fang expressed confidence in “a busy summer in Macau” driven by events and concerts in July and August, consistent with LVS’s commentary. This is a positive read-through for WYNN’s Q3 Macau trajectory.</w:t>
      </w:r>
    </w:p>
    <w:p>
      <w:pPr>
        <w:pStyle w:val="ListBullet"/>
        <w:ind w:left="360" w:hanging="360"/>
      </w:pPr>
      <w:r>
        <w:rPr>
          <w:rFonts w:ascii="Calibri" w:hAnsi="Calibri"/>
          <w:b/>
          <w:color w:val="525866"/>
          <w:sz w:val="22"/>
        </w:rPr>
        <w:t xml:space="preserve">Competitive strategy: </w:t>
      </w:r>
      <w:r>
        <w:rPr>
          <w:rFonts w:ascii="Calibri" w:hAnsi="Calibri"/>
          <w:color w:val="525866"/>
          <w:sz w:val="22"/>
        </w:rPr>
        <w:t>Fang noted MGM’s strategy is “not purely like a promotion reinvestment” but a comprehensive “package” of products, services, and innovation — consistent with the broader industry’s premium-segment focus that benefits WYNN’s positioning.</w:t>
      </w:r>
    </w:p>
    <w:p>
      <w:pPr>
        <w:pStyle w:val="Heading4"/>
      </w:pPr>
      <w:r>
        <w:rPr>
          <w:rFonts w:ascii="Calibri" w:hAnsi="Calibri"/>
          <w:b/>
          <w:color w:val="3B4259"/>
          <w:sz w:val="22"/>
        </w:rPr>
        <w:t>Las Vegas: Luxury Resilient, Group/Convention Strong, July Good</w:t>
      </w:r>
    </w:p>
    <w:p>
      <w:pPr>
        <w:pStyle w:val="ListBullet"/>
        <w:ind w:left="360" w:hanging="360"/>
      </w:pPr>
      <w:r>
        <w:rPr>
          <w:rFonts w:ascii="Calibri" w:hAnsi="Calibri"/>
          <w:b/>
          <w:color w:val="525866"/>
          <w:sz w:val="22"/>
        </w:rPr>
        <w:t xml:space="preserve">MGM CEO Hornbuckle: </w:t>
      </w:r>
      <w:r>
        <w:rPr>
          <w:rFonts w:ascii="Calibri" w:hAnsi="Calibri"/>
          <w:color w:val="525866"/>
          <w:sz w:val="22"/>
        </w:rPr>
        <w:t>“Our luxury business remains strong. The top end of our marketplace, the very top end is very strong and continues to be.” July described as “good.”</w:t>
      </w:r>
    </w:p>
    <w:p>
      <w:pPr>
        <w:pStyle w:val="ListBullet"/>
        <w:ind w:left="360" w:hanging="360"/>
      </w:pPr>
      <w:r>
        <w:rPr>
          <w:rFonts w:ascii="Calibri" w:hAnsi="Calibri"/>
          <w:b/>
          <w:color w:val="525866"/>
          <w:sz w:val="22"/>
        </w:rPr>
        <w:t xml:space="preserve">Group/convention: </w:t>
      </w:r>
      <w:r>
        <w:rPr>
          <w:rFonts w:ascii="Calibri" w:hAnsi="Calibri"/>
          <w:color w:val="525866"/>
          <w:sz w:val="22"/>
        </w:rPr>
        <w:t>MGM’s group and convention business delivered 20% of room mix in Q2 and is on pace for 20% for the full year. For Q3, MGM sees “solid group and convention calendars alongside growth in the city’s event calendar” with an “increased number of events compared to Q3 last year.”</w:t>
      </w:r>
    </w:p>
    <w:p>
      <w:pPr>
        <w:pStyle w:val="ListBullet"/>
        <w:ind w:left="360" w:hanging="360"/>
      </w:pPr>
      <w:r>
        <w:rPr>
          <w:rFonts w:ascii="Calibri" w:hAnsi="Calibri"/>
          <w:b/>
          <w:color w:val="525866"/>
          <w:sz w:val="22"/>
        </w:rPr>
        <w:t xml:space="preserve">Read-through for WYNN: </w:t>
      </w:r>
      <w:r>
        <w:rPr>
          <w:rFonts w:ascii="Calibri" w:hAnsi="Calibri"/>
          <w:color w:val="525866"/>
          <w:sz w:val="22"/>
        </w:rPr>
        <w:t>WYNN’s Las Vegas group business is pacing above 2025 on both room nights and rate (per Q1 call). MGM’s confirmation of strong group pacing and luxury resilience is a positive read-through for WYNN’s Las Vegas EBITDAR, partially offsetting the Encore Tower renovation drag.</w:t>
      </w:r>
    </w:p>
    <w:p>
      <w:pPr>
        <w:pStyle w:val="ListBullet"/>
        <w:ind w:left="360" w:hanging="360"/>
      </w:pPr>
      <w:r>
        <w:rPr>
          <w:rFonts w:ascii="Calibri" w:hAnsi="Calibri"/>
          <w:b/>
          <w:color w:val="525866"/>
          <w:sz w:val="22"/>
        </w:rPr>
        <w:t xml:space="preserve">International travel headwind: </w:t>
      </w:r>
      <w:r>
        <w:rPr>
          <w:rFonts w:ascii="Calibri" w:hAnsi="Calibri"/>
          <w:color w:val="525866"/>
          <w:sz w:val="22"/>
        </w:rPr>
        <w:t>Hornbuckle noted Las Vegas is “still down on international travel” particularly from Canada. This is a modest negative read-through for WYNN, which benefits from international high-value gaming customers.</w:t>
      </w:r>
    </w:p>
    <w:p>
      <w:pPr>
        <w:pStyle w:val="ListBullet"/>
        <w:ind w:left="360" w:hanging="360"/>
      </w:pPr>
      <w:r>
        <w:rPr>
          <w:rFonts w:ascii="Calibri" w:hAnsi="Calibri"/>
          <w:b/>
          <w:color w:val="525866"/>
          <w:sz w:val="22"/>
        </w:rPr>
        <w:t xml:space="preserve">Luxury investment cycle: </w:t>
      </w:r>
      <w:r>
        <w:rPr>
          <w:rFonts w:ascii="Calibri" w:hAnsi="Calibri"/>
          <w:color w:val="525866"/>
          <w:sz w:val="22"/>
        </w:rPr>
        <w:t>MGM announced plans to “elevate commitment to luxury” with remodels at Bellagio, Aria, and Cosmopolitan on the horizon — consistent with the broader Las Vegas luxury upgrade cycle that WYNN is also executing (Encore Tower remodel).</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WYNN Implication</w:t>
            </w:r>
          </w:p>
        </w:tc>
      </w:tr>
      <w:tr>
        <w:tc>
          <w:tcPr>
            <w:tcW w:type="dxa" w:w="2160"/>
          </w:tcPr>
          <w:p>
            <w:r>
              <w:rPr>
                <w:rFonts w:ascii="Calibri" w:hAnsi="Calibri"/>
                <w:sz w:val="22"/>
              </w:rPr>
              <w:t>Macau Q2 volumes (Apr–May)</w:t>
            </w:r>
          </w:p>
        </w:tc>
        <w:tc>
          <w:tcPr>
            <w:tcW w:type="dxa" w:w="2160"/>
          </w:tcPr>
          <w:p>
            <w:r>
              <w:rPr>
                <w:rFonts w:ascii="Calibri" w:hAnsi="Calibri"/>
                <w:sz w:val="22"/>
              </w:rPr>
              <w:t>LVS: May all-time high mass GGR; MGM: solid Apr/May</w:t>
            </w:r>
          </w:p>
        </w:tc>
        <w:tc>
          <w:tcPr>
            <w:tcW w:type="dxa" w:w="2160"/>
          </w:tcPr>
          <w:p>
            <w:r>
              <w:rPr>
                <w:rFonts w:ascii="Calibri" w:hAnsi="Calibri"/>
                <w:b/>
                <w:color w:val="30A46C"/>
                <w:sz w:val="22"/>
              </w:rPr>
              <w:t>Positive</w:t>
            </w:r>
          </w:p>
        </w:tc>
        <w:tc>
          <w:tcPr>
            <w:tcW w:type="dxa" w:w="2160"/>
          </w:tcPr>
          <w:p>
            <w:r>
              <w:rPr>
                <w:rFonts w:ascii="Calibri" w:hAnsi="Calibri"/>
                <w:sz w:val="22"/>
              </w:rPr>
              <w:t>Supports WYNN mass drop running ahead of prior year into Q2</w:t>
            </w:r>
          </w:p>
        </w:tc>
      </w:tr>
      <w:tr>
        <w:tc>
          <w:tcPr>
            <w:tcW w:type="dxa" w:w="2160"/>
          </w:tcPr>
          <w:p>
            <w:r>
              <w:rPr>
                <w:rFonts w:ascii="Calibri" w:hAnsi="Calibri"/>
                <w:sz w:val="22"/>
              </w:rPr>
              <w:t>Macau June (World Cup)</w:t>
            </w:r>
          </w:p>
        </w:tc>
        <w:tc>
          <w:tcPr>
            <w:tcW w:type="dxa" w:w="2160"/>
          </w:tcPr>
          <w:p>
            <w:r>
              <w:rPr>
                <w:rFonts w:ascii="Calibri" w:hAnsi="Calibri"/>
                <w:sz w:val="22"/>
              </w:rPr>
              <w:t>LVS: “clearly softer”; MGM: “dip in volumes coinciding with World Cup”</w:t>
            </w:r>
          </w:p>
        </w:tc>
        <w:tc>
          <w:tcPr>
            <w:tcW w:type="dxa" w:w="2160"/>
          </w:tcPr>
          <w:p>
            <w:r>
              <w:rPr>
                <w:rFonts w:ascii="Calibri" w:hAnsi="Calibri"/>
                <w:b/>
                <w:color w:val="E5484D"/>
                <w:sz w:val="22"/>
              </w:rPr>
              <w:t>Negative (transitory)</w:t>
            </w:r>
          </w:p>
        </w:tc>
        <w:tc>
          <w:tcPr>
            <w:tcW w:type="dxa" w:w="2160"/>
          </w:tcPr>
          <w:p>
            <w:r>
              <w:rPr>
                <w:rFonts w:ascii="Calibri" w:hAnsi="Calibri"/>
                <w:sz w:val="22"/>
              </w:rPr>
              <w:t>June softness likely weighs on Q2 Macau EBITDAR; partially in consensus</w:t>
            </w:r>
          </w:p>
        </w:tc>
      </w:tr>
      <w:tr>
        <w:tc>
          <w:tcPr>
            <w:tcW w:type="dxa" w:w="2160"/>
          </w:tcPr>
          <w:p>
            <w:r>
              <w:rPr>
                <w:rFonts w:ascii="Calibri" w:hAnsi="Calibri"/>
                <w:sz w:val="22"/>
              </w:rPr>
              <w:t>Macau July rebound</w:t>
            </w:r>
          </w:p>
        </w:tc>
        <w:tc>
          <w:tcPr>
            <w:tcW w:type="dxa" w:w="2160"/>
          </w:tcPr>
          <w:p>
            <w:r>
              <w:rPr>
                <w:rFonts w:ascii="Calibri" w:hAnsi="Calibri"/>
                <w:sz w:val="22"/>
              </w:rPr>
              <w:t>MGM: volumes “strongly picked up”; market recovered to Q1 levels; MGM exceeded Q1 levels</w:t>
            </w:r>
          </w:p>
        </w:tc>
        <w:tc>
          <w:tcPr>
            <w:tcW w:type="dxa" w:w="2160"/>
          </w:tcPr>
          <w:p>
            <w:r>
              <w:rPr>
                <w:rFonts w:ascii="Calibri" w:hAnsi="Calibri"/>
                <w:b/>
                <w:color w:val="30A46C"/>
                <w:sz w:val="22"/>
              </w:rPr>
              <w:t>Positive (Q3 signal)</w:t>
            </w:r>
          </w:p>
        </w:tc>
        <w:tc>
          <w:tcPr>
            <w:tcW w:type="dxa" w:w="2160"/>
          </w:tcPr>
          <w:p>
            <w:r>
              <w:rPr>
                <w:rFonts w:ascii="Calibri" w:hAnsi="Calibri"/>
                <w:sz w:val="22"/>
              </w:rPr>
              <w:t>Positive for WYNN Q3 2026 Macau setup; not in Q2 numbers</w:t>
            </w:r>
          </w:p>
        </w:tc>
      </w:tr>
      <w:tr>
        <w:tc>
          <w:tcPr>
            <w:tcW w:type="dxa" w:w="2160"/>
          </w:tcPr>
          <w:p>
            <w:r>
              <w:rPr>
                <w:rFonts w:ascii="Calibri" w:hAnsi="Calibri"/>
                <w:sz w:val="22"/>
              </w:rPr>
              <w:t>Macau opex trajectory</w:t>
            </w:r>
          </w:p>
        </w:tc>
        <w:tc>
          <w:tcPr>
            <w:tcW w:type="dxa" w:w="2160"/>
          </w:tcPr>
          <w:p>
            <w:r>
              <w:rPr>
                <w:rFonts w:ascii="Calibri" w:hAnsi="Calibri"/>
                <w:sz w:val="22"/>
              </w:rPr>
              <w:t>LVS: opex growth to “moderate into H2”; big step-change investments largely done</w:t>
            </w:r>
          </w:p>
        </w:tc>
        <w:tc>
          <w:tcPr>
            <w:tcW w:type="dxa" w:w="2160"/>
          </w:tcPr>
          <w:p>
            <w:r>
              <w:rPr>
                <w:rFonts w:ascii="Calibri" w:hAnsi="Calibri"/>
                <w:b/>
                <w:color w:val="30A46C"/>
                <w:sz w:val="22"/>
              </w:rPr>
              <w:t>Positive</w:t>
            </w:r>
          </w:p>
        </w:tc>
        <w:tc>
          <w:tcPr>
            <w:tcW w:type="dxa" w:w="2160"/>
          </w:tcPr>
          <w:p>
            <w:r>
              <w:rPr>
                <w:rFonts w:ascii="Calibri" w:hAnsi="Calibri"/>
                <w:sz w:val="22"/>
              </w:rPr>
              <w:t>Positive read-through for WYNN Macau margins in H2 2026</w:t>
            </w:r>
          </w:p>
        </w:tc>
      </w:tr>
      <w:tr>
        <w:tc>
          <w:tcPr>
            <w:tcW w:type="dxa" w:w="2160"/>
          </w:tcPr>
          <w:p>
            <w:r>
              <w:rPr>
                <w:rFonts w:ascii="Calibri" w:hAnsi="Calibri"/>
                <w:sz w:val="22"/>
              </w:rPr>
              <w:t>Macau competitive reinvestment</w:t>
            </w:r>
          </w:p>
        </w:tc>
        <w:tc>
          <w:tcPr>
            <w:tcW w:type="dxa" w:w="2160"/>
          </w:tcPr>
          <w:p>
            <w:r>
              <w:rPr>
                <w:rFonts w:ascii="Calibri" w:hAnsi="Calibri"/>
                <w:sz w:val="22"/>
              </w:rPr>
              <w:t>LVS: no significant change in competitive landscape on reinvestment</w:t>
            </w:r>
          </w:p>
        </w:tc>
        <w:tc>
          <w:tcPr>
            <w:tcW w:type="dxa" w:w="2160"/>
          </w:tcPr>
          <w:p>
            <w:r>
              <w:rPr>
                <w:rFonts w:ascii="Calibri" w:hAnsi="Calibri"/>
                <w:b/>
                <w:color w:val="30A46C"/>
                <w:sz w:val="22"/>
              </w:rPr>
              <w:t>Neutral/Positive</w:t>
            </w:r>
          </w:p>
        </w:tc>
        <w:tc>
          <w:tcPr>
            <w:tcW w:type="dxa" w:w="2160"/>
          </w:tcPr>
          <w:p>
            <w:r>
              <w:rPr>
                <w:rFonts w:ascii="Calibri" w:hAnsi="Calibri"/>
                <w:sz w:val="22"/>
              </w:rPr>
              <w:t>Promotional intensity stable; benefits WYNN’s premium positioning</w:t>
            </w:r>
          </w:p>
        </w:tc>
      </w:tr>
      <w:tr>
        <w:tc>
          <w:tcPr>
            <w:tcW w:type="dxa" w:w="2160"/>
          </w:tcPr>
          <w:p>
            <w:r>
              <w:rPr>
                <w:rFonts w:ascii="Calibri" w:hAnsi="Calibri"/>
                <w:sz w:val="22"/>
              </w:rPr>
              <w:t>Las Vegas luxury demand</w:t>
            </w:r>
          </w:p>
        </w:tc>
        <w:tc>
          <w:tcPr>
            <w:tcW w:type="dxa" w:w="2160"/>
          </w:tcPr>
          <w:p>
            <w:r>
              <w:rPr>
                <w:rFonts w:ascii="Calibri" w:hAnsi="Calibri"/>
                <w:sz w:val="22"/>
              </w:rPr>
              <w:t>MGM: “top end very strong”; July “good”; luxury segment resilient</w:t>
            </w:r>
          </w:p>
        </w:tc>
        <w:tc>
          <w:tcPr>
            <w:tcW w:type="dxa" w:w="2160"/>
          </w:tcPr>
          <w:p>
            <w:r>
              <w:rPr>
                <w:rFonts w:ascii="Calibri" w:hAnsi="Calibri"/>
                <w:b/>
                <w:color w:val="30A46C"/>
                <w:sz w:val="22"/>
              </w:rPr>
              <w:t>Positive</w:t>
            </w:r>
          </w:p>
        </w:tc>
        <w:tc>
          <w:tcPr>
            <w:tcW w:type="dxa" w:w="2160"/>
          </w:tcPr>
          <w:p>
            <w:r>
              <w:rPr>
                <w:rFonts w:ascii="Calibri" w:hAnsi="Calibri"/>
                <w:sz w:val="22"/>
              </w:rPr>
              <w:t>Supports WYNN LV gaming market share gains and ADR growth</w:t>
            </w:r>
          </w:p>
        </w:tc>
      </w:tr>
      <w:tr>
        <w:tc>
          <w:tcPr>
            <w:tcW w:type="dxa" w:w="2160"/>
          </w:tcPr>
          <w:p>
            <w:r>
              <w:rPr>
                <w:rFonts w:ascii="Calibri" w:hAnsi="Calibri"/>
                <w:sz w:val="22"/>
              </w:rPr>
              <w:t>Las Vegas group/convention</w:t>
            </w:r>
          </w:p>
        </w:tc>
        <w:tc>
          <w:tcPr>
            <w:tcW w:type="dxa" w:w="2160"/>
          </w:tcPr>
          <w:p>
            <w:r>
              <w:rPr>
                <w:rFonts w:ascii="Calibri" w:hAnsi="Calibri"/>
                <w:sz w:val="22"/>
              </w:rPr>
              <w:t>MGM: 20% room mix in Q2; Q3 “solid” with more events vs. prior year</w:t>
            </w:r>
          </w:p>
        </w:tc>
        <w:tc>
          <w:tcPr>
            <w:tcW w:type="dxa" w:w="2160"/>
          </w:tcPr>
          <w:p>
            <w:r>
              <w:rPr>
                <w:rFonts w:ascii="Calibri" w:hAnsi="Calibri"/>
                <w:b/>
                <w:color w:val="30A46C"/>
                <w:sz w:val="22"/>
              </w:rPr>
              <w:t>Positive</w:t>
            </w:r>
          </w:p>
        </w:tc>
        <w:tc>
          <w:tcPr>
            <w:tcW w:type="dxa" w:w="2160"/>
          </w:tcPr>
          <w:p>
            <w:r>
              <w:rPr>
                <w:rFonts w:ascii="Calibri" w:hAnsi="Calibri"/>
                <w:sz w:val="22"/>
              </w:rPr>
              <w:t>Consistent with WYNN’s group pacing above 2025 commentary</w:t>
            </w:r>
          </w:p>
        </w:tc>
      </w:tr>
      <w:tr>
        <w:tc>
          <w:tcPr>
            <w:tcW w:type="dxa" w:w="2160"/>
          </w:tcPr>
          <w:p>
            <w:r>
              <w:rPr>
                <w:rFonts w:ascii="Calibri" w:hAnsi="Calibri"/>
                <w:sz w:val="22"/>
              </w:rPr>
              <w:t>Las Vegas international travel</w:t>
            </w:r>
          </w:p>
        </w:tc>
        <w:tc>
          <w:tcPr>
            <w:tcW w:type="dxa" w:w="2160"/>
          </w:tcPr>
          <w:p>
            <w:r>
              <w:rPr>
                <w:rFonts w:ascii="Calibri" w:hAnsi="Calibri"/>
                <w:sz w:val="22"/>
              </w:rPr>
              <w:t>MGM: “still down on international travel” particularly Canada</w:t>
            </w:r>
          </w:p>
        </w:tc>
        <w:tc>
          <w:tcPr>
            <w:tcW w:type="dxa" w:w="2160"/>
          </w:tcPr>
          <w:p>
            <w:r>
              <w:rPr>
                <w:rFonts w:ascii="Calibri" w:hAnsi="Calibri"/>
                <w:b/>
                <w:color w:val="E5484D"/>
                <w:sz w:val="22"/>
              </w:rPr>
              <w:t>Modest negative</w:t>
            </w:r>
          </w:p>
        </w:tc>
        <w:tc>
          <w:tcPr>
            <w:tcW w:type="dxa" w:w="2160"/>
          </w:tcPr>
          <w:p>
            <w:r>
              <w:rPr>
                <w:rFonts w:ascii="Calibri" w:hAnsi="Calibri"/>
                <w:sz w:val="22"/>
              </w:rPr>
              <w:t>Minor headwind for WYNN’s international high-value gaming customers</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Macau land concession amendment (July 22, 2026)</w:t>
      </w:r>
      <w:r>
        <w:rPr>
          <w:rFonts w:ascii="Calibri" w:hAnsi="Calibri"/>
          <w:color w:val="525866"/>
          <w:sz w:val="22"/>
        </w:rPr>
        <w:t>, which formally grants Wynn Palace expansion rights for The Enclave — a structural positive that de-risks the $900M–$950M capital project. The World Cup Macau softness (confirmed by LVS and MGM) is the key near-term negative read-through for Q2.</w:t>
      </w:r>
    </w:p>
    <w:p>
      <w:pPr>
        <w:pStyle w:val="ListBullet"/>
        <w:ind w:left="360" w:hanging="360"/>
      </w:pPr>
      <w:r>
        <w:rPr>
          <w:rFonts w:ascii="Calibri" w:hAnsi="Calibri"/>
          <w:b/>
          <w:color w:val="525866"/>
          <w:sz w:val="22"/>
        </w:rPr>
        <w:t xml:space="preserve">July 22, 2026 — Macau Land Concession Amendment (8-K filed): </w:t>
      </w:r>
      <w:r>
        <w:rPr>
          <w:rFonts w:ascii="Calibri" w:hAnsi="Calibri"/>
          <w:color w:val="525866"/>
          <w:sz w:val="22"/>
        </w:rPr>
        <w:t xml:space="preserve">Wynn’s Macau subsidiary received an amended land concession contract from the Macau government, formally granting permission to expand Wynn Palace with a new five-star hotel (The Enclave), theater, and event/entertainment center on the Cotai land. 60-month build window from publication date. One-time land premium of MOP652.3M (~$80.8M) plus additional annual rent of ~$1.2M. </w:t>
      </w:r>
    </w:p>
    <w:p>
      <w:pPr>
        <w:pStyle w:val="ListBullet"/>
        <w:ind w:left="360" w:hanging="360"/>
      </w:pPr>
      <w:r>
        <w:rPr>
          <w:rFonts w:ascii="Calibri" w:hAnsi="Calibri"/>
          <w:b/>
          <w:color w:val="525866"/>
          <w:sz w:val="22"/>
        </w:rPr>
        <w:t xml:space="preserve">Implication: </w:t>
      </w:r>
      <w:r>
        <w:rPr>
          <w:rFonts w:ascii="Calibri" w:hAnsi="Calibri"/>
          <w:color w:val="525866"/>
          <w:sz w:val="22"/>
        </w:rPr>
        <w:t>Formally de-risks the $900M–$950M Enclave at Wynn Palace project announced on the Q1 call. Government approval removes the key regulatory uncertainty. Management projected $150M–$175M in incremental EBITDA at full run-rate.</w:t>
      </w:r>
    </w:p>
    <w:p>
      <w:pPr>
        <w:pStyle w:val="ListBullet"/>
        <w:ind w:left="360" w:hanging="360"/>
      </w:pPr>
      <w:r>
        <w:rPr>
          <w:rFonts w:ascii="Calibri" w:hAnsi="Calibri"/>
          <w:b/>
          <w:color w:val="525866"/>
          <w:sz w:val="22"/>
        </w:rPr>
        <w:t xml:space="preserve">July 29, 2026 — MGM Q2 2026 Beat + Takeover Speculation: </w:t>
      </w:r>
      <w:r>
        <w:rPr>
          <w:rFonts w:ascii="Calibri" w:hAnsi="Calibri"/>
          <w:color w:val="525866"/>
          <w:sz w:val="22"/>
        </w:rPr>
        <w:t xml:space="preserve">MGM reported Q2 adjusted EPS of $0.59 vs. $0.56 consensus; Las Vegas Strip revenue +3% to $2.2B. MGM is evaluating a takeover offer from Barry Diller’s People Inc. at $48.30/share. </w:t>
      </w:r>
    </w:p>
    <w:p>
      <w:pPr>
        <w:pStyle w:val="ListBullet"/>
        <w:ind w:left="360" w:hanging="360"/>
      </w:pPr>
      <w:r>
        <w:rPr>
          <w:rFonts w:ascii="Calibri" w:hAnsi="Calibri"/>
          <w:b/>
          <w:color w:val="525866"/>
          <w:sz w:val="22"/>
        </w:rPr>
        <w:t xml:space="preserve">Implication: </w:t>
      </w:r>
      <w:r>
        <w:rPr>
          <w:rFonts w:ascii="Calibri" w:hAnsi="Calibri"/>
          <w:color w:val="525866"/>
          <w:sz w:val="22"/>
        </w:rPr>
        <w:t>Positive Las Vegas read-through for WYNN. MGM takeover speculation could draw attention to gaming sector valuations broadly, potentially benefiting WYNN’s multiple.</w:t>
      </w:r>
    </w:p>
    <w:p>
      <w:pPr>
        <w:pStyle w:val="ListBullet"/>
        <w:ind w:left="360" w:hanging="360"/>
      </w:pPr>
      <w:r>
        <w:rPr>
          <w:rFonts w:ascii="Calibri" w:hAnsi="Calibri"/>
          <w:b/>
          <w:color w:val="525866"/>
          <w:sz w:val="22"/>
        </w:rPr>
        <w:t xml:space="preserve">July 22, 2026 — LVS Q2 2026 Miss: </w:t>
      </w:r>
      <w:r>
        <w:rPr>
          <w:rFonts w:ascii="Calibri" w:hAnsi="Calibri"/>
          <w:color w:val="525866"/>
          <w:sz w:val="22"/>
        </w:rPr>
        <w:t xml:space="preserve">LVS reported Q2 revenue of $3.15B vs. $3.3B consensus and Adj. Property EBITDA of $1.11B vs. $1.3B consensus, driven by low VIP hold in Macau and World Cup June softness. LVS increased buyback authorization to $6B (~20% of market cap). </w:t>
      </w:r>
    </w:p>
    <w:p>
      <w:pPr>
        <w:pStyle w:val="ListBullet"/>
        <w:ind w:left="360" w:hanging="360"/>
      </w:pPr>
      <w:r>
        <w:rPr>
          <w:rFonts w:ascii="Calibri" w:hAnsi="Calibri"/>
          <w:b/>
          <w:color w:val="525866"/>
          <w:sz w:val="22"/>
        </w:rPr>
        <w:t xml:space="preserve">Implication: </w:t>
      </w:r>
      <w:r>
        <w:rPr>
          <w:rFonts w:ascii="Calibri" w:hAnsi="Calibri"/>
          <w:color w:val="525866"/>
          <w:sz w:val="22"/>
        </w:rPr>
        <w:t>Cautionary signal for WYNN’s Q2 Macau EBITDAR; confirms World Cup impact was real. WYNN’s consensus has already been revised down ~2.2% since Q1, suggesting some of this risk is priced in.</w:t>
      </w:r>
    </w:p>
    <w:p>
      <w:pPr>
        <w:pStyle w:val="ListBullet"/>
        <w:ind w:left="360" w:hanging="360"/>
      </w:pPr>
      <w:r>
        <w:rPr>
          <w:rFonts w:ascii="Calibri" w:hAnsi="Calibri"/>
          <w:b/>
          <w:color w:val="525866"/>
          <w:sz w:val="22"/>
        </w:rPr>
        <w:t xml:space="preserve">July 7, 2026 — Q2 2026 Earnings Date Announced: </w:t>
      </w:r>
      <w:r>
        <w:rPr>
          <w:rFonts w:ascii="Calibri" w:hAnsi="Calibri"/>
          <w:color w:val="525866"/>
          <w:sz w:val="22"/>
        </w:rPr>
        <w:t>Wynn confirmed August 4, 2026 as the Q2 2026 earnings release date with a 4:30 PM ET conference call.</w:t>
      </w:r>
    </w:p>
    <w:p>
      <w:pPr>
        <w:pStyle w:val="ListBullet"/>
        <w:ind w:left="360" w:hanging="360"/>
      </w:pPr>
      <w:r>
        <w:rPr>
          <w:rFonts w:ascii="Calibri" w:hAnsi="Calibri"/>
          <w:b/>
          <w:color w:val="525866"/>
          <w:sz w:val="22"/>
        </w:rPr>
        <w:t xml:space="preserve">May 28, 2026 — Wynn Macau Dividend Approved: </w:t>
      </w:r>
      <w:r>
        <w:rPr>
          <w:rFonts w:ascii="Calibri" w:hAnsi="Calibri"/>
          <w:color w:val="525866"/>
          <w:sz w:val="22"/>
        </w:rPr>
        <w:t xml:space="preserve">Wynn Macau shareholders approved the increased final 2025 dividend of $150M (up from $125M prior period) at the Annual General Meeting. </w:t>
      </w:r>
    </w:p>
    <w:p>
      <w:pPr>
        <w:pStyle w:val="ListBullet"/>
        <w:ind w:left="360" w:hanging="360"/>
      </w:pPr>
      <w:r>
        <w:rPr>
          <w:rFonts w:ascii="Calibri" w:hAnsi="Calibri"/>
          <w:b/>
          <w:color w:val="525866"/>
          <w:sz w:val="22"/>
        </w:rPr>
        <w:t xml:space="preserve">Implication: </w:t>
      </w:r>
      <w:r>
        <w:rPr>
          <w:rFonts w:ascii="Calibri" w:hAnsi="Calibri"/>
          <w:color w:val="525866"/>
          <w:sz w:val="22"/>
        </w:rPr>
        <w:t>Confirms Macau cash generation strength. Incremental $25M vs. prior year dividend signals sustained free cash flow improvement.</w:t>
      </w:r>
    </w:p>
    <w:p>
      <w:pPr>
        <w:pStyle w:val="ListBullet"/>
        <w:ind w:left="360" w:hanging="360"/>
      </w:pPr>
      <w:r>
        <w:rPr>
          <w:rFonts w:ascii="Calibri" w:hAnsi="Calibri"/>
          <w:b/>
          <w:color w:val="525866"/>
          <w:sz w:val="22"/>
        </w:rPr>
        <w:t xml:space="preserve">May 8, 2026 — Annual Meeting: </w:t>
      </w:r>
      <w:r>
        <w:rPr>
          <w:rFonts w:ascii="Calibri" w:hAnsi="Calibri"/>
          <w:color w:val="525866"/>
          <w:sz w:val="22"/>
        </w:rPr>
        <w:t>Wynn shareholders approved all proposals at the Annual Meeting, including executive compensation and director elections. No material governance changes.</w:t>
      </w:r>
    </w:p>
    <w:p>
      <w:pPr>
        <w:pStyle w:val="ListBullet"/>
        <w:ind w:left="360" w:hanging="360"/>
      </w:pPr>
      <w:r>
        <w:rPr>
          <w:rFonts w:ascii="Calibri" w:hAnsi="Calibri"/>
          <w:b/>
          <w:color w:val="525866"/>
          <w:sz w:val="22"/>
        </w:rPr>
        <w:t xml:space="preserve">Ongoing — UAE Development (Wynn Al Marjan Island): </w:t>
      </w:r>
      <w:r>
        <w:rPr>
          <w:rFonts w:ascii="Calibri" w:hAnsi="Calibri"/>
          <w:color w:val="525866"/>
          <w:sz w:val="22"/>
        </w:rPr>
        <w:t xml:space="preserve">Construction continues with 22,000+ workers on site. Management flagged a “modest delay” to the 2027 opening timeline due to US-Iran/Israel regional conflict causing logistical and shipping challenges. Delay to be quantified in coming months. Remaining equity contribution ~$350M–$450M (including Janu hotel). </w:t>
      </w:r>
    </w:p>
    <w:p>
      <w:pPr>
        <w:pStyle w:val="ListBullet"/>
        <w:ind w:left="360" w:hanging="360"/>
      </w:pPr>
      <w:r>
        <w:rPr>
          <w:rFonts w:ascii="Calibri" w:hAnsi="Calibri"/>
          <w:b/>
          <w:color w:val="525866"/>
          <w:sz w:val="22"/>
        </w:rPr>
        <w:t xml:space="preserve">Implication: </w:t>
      </w:r>
      <w:r>
        <w:rPr>
          <w:rFonts w:ascii="Calibri" w:hAnsi="Calibri"/>
          <w:color w:val="525866"/>
          <w:sz w:val="22"/>
        </w:rPr>
        <w:t>The delay quantification is a key watch item for the Q2 call. Any extension beyond a few months could weigh on the 2027 FCF inflection thesis that underpins the bull case.</w:t>
      </w:r>
    </w:p>
    <w:p>
      <w:pPr>
        <w:pStyle w:val="ListBullet"/>
        <w:ind w:left="360" w:hanging="360"/>
      </w:pPr>
      <w:r>
        <w:rPr>
          <w:rFonts w:ascii="Calibri" w:hAnsi="Calibri"/>
          <w:b/>
          <w:color w:val="525866"/>
          <w:sz w:val="22"/>
        </w:rPr>
        <w:t xml:space="preserve">Ongoing — Share Buybacks: </w:t>
      </w:r>
      <w:r>
        <w:rPr>
          <w:rFonts w:ascii="Calibri" w:hAnsi="Calibri"/>
          <w:color w:val="525866"/>
          <w:sz w:val="22"/>
        </w:rPr>
        <w:t>WYNN repurchased 528,000 shares for ~$53.8M in Q1 2026, plus an additional $30.6M in early Q2 (disclosed on the Q1 call). Management has been opportunistic buyers at current price levels, signaling conviction that the stock is undervalued.</w:t>
      </w:r>
    </w:p>
    <w:p>
      <w:pPr>
        <w:pStyle w:val="ListBullet"/>
        <w:ind w:left="360" w:hanging="360"/>
      </w:pPr>
      <w:r>
        <w:rPr>
          <w:rFonts w:ascii="Calibri" w:hAnsi="Calibri"/>
          <w:b/>
          <w:color w:val="525866"/>
          <w:sz w:val="22"/>
        </w:rPr>
        <w:t xml:space="preserve">Ongoing — Encore Tower Remodel (Las Vegas): </w:t>
      </w:r>
      <w:r>
        <w:rPr>
          <w:rFonts w:ascii="Calibri" w:hAnsi="Calibri"/>
          <w:color w:val="525866"/>
          <w:sz w:val="22"/>
        </w:rPr>
        <w:t>12-month renovation commenced ~May 2026, taking 6 floors of inventory offline. Management is working around peak occupancy periods and expects to capture rate on compressed inventory. Full completion expected early 2027.</w:t>
      </w:r>
    </w:p>
    <w:p>
      <w:pPr>
        <w:pStyle w:val="ListBullet"/>
        <w:ind w:left="360" w:hanging="360"/>
      </w:pPr>
      <w:r>
        <w:rPr>
          <w:rFonts w:ascii="Calibri" w:hAnsi="Calibri"/>
          <w:b/>
          <w:color w:val="525866"/>
          <w:sz w:val="22"/>
        </w:rPr>
        <w:t xml:space="preserve">Macro — Middle East Conflict / Geopolitical Risk: </w:t>
      </w:r>
      <w:r>
        <w:rPr>
          <w:rFonts w:ascii="Calibri" w:hAnsi="Calibri"/>
          <w:color w:val="525866"/>
          <w:sz w:val="22"/>
        </w:rPr>
        <w:t>Ongoing US-Iran/Israel conflict continues to create logistical challenges for the UAE project and has weighed on regional travel patterns. Japan/US joint FX intervention to support the yen (late July/early August) reflects broader geopolitical and macro volatility. Rising oil prices from Middle East tensions are a modest headwind to consumer discretionary spending globally.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insider activity in the last 60 days is </w:t>
      </w:r>
      <w:r>
        <w:rPr>
          <w:rFonts w:ascii="Calibri" w:hAnsi="Calibri"/>
          <w:b/>
          <w:color w:val="525866"/>
          <w:sz w:val="22"/>
        </w:rPr>
        <w:t>Tilman Fertitta (10% Owner) repeatedly selling call options (obligations to sell) on WYNN shares</w:t>
      </w:r>
      <w:r>
        <w:rPr>
          <w:rFonts w:ascii="Calibri" w:hAnsi="Calibri"/>
          <w:color w:val="525866"/>
          <w:sz w:val="22"/>
        </w:rPr>
        <w:t xml:space="preserve"> — a pattern of structured, non-discretionary dispositions that does not carry the same negative signal as open-market sales. No open-market buys or sells by officers or directors were filed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(Call Options)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27, 2026</w:t>
            </w:r>
          </w:p>
        </w:tc>
        <w:tc>
          <w:tcPr>
            <w:tcW w:type="dxa" w:w="1440"/>
          </w:tcPr>
          <w:p>
            <w:r>
              <w:rPr>
                <w:rFonts w:ascii="Calibri" w:hAnsi="Calibri"/>
                <w:sz w:val="22"/>
              </w:rPr>
              <w:t>Indirect ownership; structured call option obligation; not a discretionary open-market sale</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24, 2026</w:t>
            </w:r>
          </w:p>
        </w:tc>
        <w:tc>
          <w:tcPr>
            <w:tcW w:type="dxa" w:w="1440"/>
          </w:tcPr>
          <w:p>
            <w:r>
              <w:rPr>
                <w:rFonts w:ascii="Calibri" w:hAnsi="Calibri"/>
                <w:sz w:val="22"/>
              </w:rPr>
              <w:t>Indirect ownership; structured call option obligation</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23, 2026</w:t>
            </w:r>
          </w:p>
        </w:tc>
        <w:tc>
          <w:tcPr>
            <w:tcW w:type="dxa" w:w="1440"/>
          </w:tcPr>
          <w:p>
            <w:r>
              <w:rPr>
                <w:rFonts w:ascii="Calibri" w:hAnsi="Calibri"/>
                <w:sz w:val="22"/>
              </w:rPr>
              <w:t>Indirect ownership; structured call option obligation</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Jul 10, 2026</w:t>
            </w:r>
          </w:p>
        </w:tc>
        <w:tc>
          <w:tcPr>
            <w:tcW w:type="dxa" w:w="1440"/>
          </w:tcPr>
          <w:p>
            <w:r>
              <w:rPr>
                <w:rFonts w:ascii="Calibri" w:hAnsi="Calibri"/>
                <w:sz w:val="22"/>
              </w:rPr>
              <w:t>Indirect ownership; structured call option obligation</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300,000</w:t>
            </w:r>
          </w:p>
        </w:tc>
        <w:tc>
          <w:tcPr>
            <w:tcW w:type="dxa" w:w="1440"/>
          </w:tcPr>
          <w:p>
            <w:r>
              <w:rPr>
                <w:rFonts w:ascii="Calibri" w:hAnsi="Calibri"/>
                <w:sz w:val="22"/>
              </w:rPr>
              <w:t>Jun 24, 2026</w:t>
            </w:r>
          </w:p>
        </w:tc>
        <w:tc>
          <w:tcPr>
            <w:tcW w:type="dxa" w:w="1440"/>
          </w:tcPr>
          <w:p>
            <w:r>
              <w:rPr>
                <w:rFonts w:ascii="Calibri" w:hAnsi="Calibri"/>
                <w:sz w:val="22"/>
              </w:rPr>
              <w:t>Indirect ownership; structured call option obligation</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250,000 / 300,000</w:t>
            </w:r>
          </w:p>
        </w:tc>
        <w:tc>
          <w:tcPr>
            <w:tcW w:type="dxa" w:w="1440"/>
          </w:tcPr>
          <w:p>
            <w:r>
              <w:rPr>
                <w:rFonts w:ascii="Calibri" w:hAnsi="Calibri"/>
                <w:sz w:val="22"/>
              </w:rPr>
              <w:t>Jun 9–10, 2026</w:t>
            </w:r>
          </w:p>
        </w:tc>
        <w:tc>
          <w:tcPr>
            <w:tcW w:type="dxa" w:w="1440"/>
          </w:tcPr>
          <w:p>
            <w:r>
              <w:rPr>
                <w:rFonts w:ascii="Calibri" w:hAnsi="Calibri"/>
                <w:sz w:val="22"/>
              </w:rPr>
              <w:t>Indirect ownership; structured call option obligation; two separate filings</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250,000</w:t>
            </w:r>
          </w:p>
        </w:tc>
        <w:tc>
          <w:tcPr>
            <w:tcW w:type="dxa" w:w="1440"/>
          </w:tcPr>
          <w:p>
            <w:r>
              <w:rPr>
                <w:rFonts w:ascii="Calibri" w:hAnsi="Calibri"/>
                <w:sz w:val="22"/>
              </w:rPr>
              <w:t>Jun 5, 2026</w:t>
            </w:r>
          </w:p>
        </w:tc>
        <w:tc>
          <w:tcPr>
            <w:tcW w:type="dxa" w:w="1440"/>
          </w:tcPr>
          <w:p>
            <w:r>
              <w:rPr>
                <w:rFonts w:ascii="Calibri" w:hAnsi="Calibri"/>
                <w:sz w:val="22"/>
              </w:rPr>
              <w:t>Indirect ownership; structured call option obligation</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250,000 / 300,000</w:t>
            </w:r>
          </w:p>
        </w:tc>
        <w:tc>
          <w:tcPr>
            <w:tcW w:type="dxa" w:w="1440"/>
          </w:tcPr>
          <w:p>
            <w:r>
              <w:rPr>
                <w:rFonts w:ascii="Calibri" w:hAnsi="Calibri"/>
                <w:sz w:val="22"/>
              </w:rPr>
              <w:t>Jun 1–3, 2026</w:t>
            </w:r>
          </w:p>
        </w:tc>
        <w:tc>
          <w:tcPr>
            <w:tcW w:type="dxa" w:w="1440"/>
          </w:tcPr>
          <w:p>
            <w:r>
              <w:rPr>
                <w:rFonts w:ascii="Calibri" w:hAnsi="Calibri"/>
                <w:sz w:val="22"/>
              </w:rPr>
              <w:t>Indirect ownership; structured call option obligation; two separate filings</w:t>
            </w:r>
          </w:p>
        </w:tc>
      </w:tr>
      <w:tr>
        <w:tc>
          <w:tcPr>
            <w:tcW w:type="dxa" w:w="1440"/>
          </w:tcPr>
          <w:p>
            <w:r>
              <w:rPr>
                <w:rFonts w:ascii="Calibri" w:hAnsi="Calibri"/>
                <w:sz w:val="22"/>
              </w:rPr>
              <w:t>Fertitta, Tilman J.</w:t>
            </w:r>
          </w:p>
        </w:tc>
        <w:tc>
          <w:tcPr>
            <w:tcW w:type="dxa" w:w="1440"/>
          </w:tcPr>
          <w:p>
            <w:r>
              <w:rPr>
                <w:rFonts w:ascii="Calibri" w:hAnsi="Calibri"/>
                <w:sz w:val="22"/>
              </w:rPr>
              <w:t>10% Owner</w:t>
            </w:r>
          </w:p>
        </w:tc>
        <w:tc>
          <w:tcPr>
            <w:tcW w:type="dxa" w:w="1440"/>
          </w:tcPr>
          <w:p>
            <w:r>
              <w:rPr>
                <w:rFonts w:ascii="Calibri" w:hAnsi="Calibri"/>
                <w:sz w:val="22"/>
              </w:rPr>
              <w:t>Disposition — Call Option (obligation to sell)</w:t>
            </w:r>
          </w:p>
        </w:tc>
        <w:tc>
          <w:tcPr>
            <w:tcW w:type="dxa" w:w="1440"/>
          </w:tcPr>
          <w:p>
            <w:r>
              <w:rPr>
                <w:rFonts w:ascii="Calibri" w:hAnsi="Calibri"/>
                <w:sz w:val="22"/>
              </w:rPr>
              <w:t>450,000 / 300,000</w:t>
            </w:r>
          </w:p>
        </w:tc>
        <w:tc>
          <w:tcPr>
            <w:tcW w:type="dxa" w:w="1440"/>
          </w:tcPr>
          <w:p>
            <w:r>
              <w:rPr>
                <w:rFonts w:ascii="Calibri" w:hAnsi="Calibri"/>
                <w:sz w:val="22"/>
              </w:rPr>
              <w:t>May 22–27, 2026</w:t>
            </w:r>
          </w:p>
        </w:tc>
        <w:tc>
          <w:tcPr>
            <w:tcW w:type="dxa" w:w="1440"/>
          </w:tcPr>
          <w:p>
            <w:r>
              <w:rPr>
                <w:rFonts w:ascii="Calibri" w:hAnsi="Calibri"/>
                <w:sz w:val="22"/>
              </w:rPr>
              <w:t>Indirect ownership; structured call option obligation; two separate filings</w:t>
            </w:r>
          </w:p>
        </w:tc>
      </w:tr>
    </w:tbl>
    <w:p>
      <w:r>
        <w:rPr>
          <w:rFonts w:ascii="Calibri" w:hAnsi="Calibri"/>
          <w:i/>
          <w:color w:val="525866"/>
          <w:sz w:val="22"/>
        </w:rPr>
        <w:t xml:space="preserve">Source: SEC Form 4 Filings Database. </w:t>
      </w:r>
      <w:r>
        <w:rPr>
          <w:rFonts w:ascii="Calibri" w:hAnsi="Calibri"/>
          <w:i/>
          <w:color w:val="525866"/>
          <w:sz w:val="22"/>
        </w:rPr>
        <w:t>All transactions are by Tilman J. Fertitta (10% Owner), held indirectly. All are classified as “Call Option (obligation to sell)” — these are structured derivative obligations, not discretionary open-market sales. The pattern is consistent and recurring across the period, suggesting a pre-arranged hedging or monetization program rather than a directional bearish signal. No open-market purchases or sales by WYNN officers or directors (CEO, CFO, COO, etc.) were filed in the last 60 days. The absence of officer/director open-market activity is neutral — neither a positive nor negative signal.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