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xyz-earnings-predictions--2026-08-05"/>
    <w:p>
      <w:pPr>
        <w:pStyle w:val="Heading1"/>
      </w:pPr>
      <w:r>
        <w:t xml:space="preserve">XYZ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Gross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3.12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3.05B (guide $3.04B)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~$0.91 vs. cons $0.86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785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745M (guide $740M)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Gross Profit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12.45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12.42B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Diluted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3.95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3.90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Operating Income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3.42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3.36B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Gross Profit guide (Borrow deceleration test)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3.20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3.17B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A beat-and-modest-raise (GP/EPS/AOI above the</w:t>
            </w:r>
            <w:r>
              <w:t xml:space="preserve"> </w:t>
            </w:r>
            <m:oMath>
              <m:r>
                <m:t>3.04</m:t>
              </m:r>
              <m:r>
                <m:t>B</m:t>
              </m:r>
              <m:r>
                <m:rPr>
                  <m:sty m:val="p"/>
                </m:rPr>
                <m:t>/</m:t>
              </m:r>
            </m:oMath>
            <w:r>
              <w:t xml:space="preserve">0.86/</w:t>
            </w:r>
            <m:oMath>
              <m:r>
                <m:t>740</m:t>
              </m:r>
              <m:r>
                <m:t>M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F</m:t>
              </m:r>
              <m:r>
                <m:t>Y</m:t>
              </m:r>
              <m:r>
                <m:t>n</m:t>
              </m:r>
              <m:r>
                <m:t>u</m:t>
              </m:r>
              <m:r>
                <m:t>d</m:t>
              </m:r>
              <m:r>
                <m:t>g</m:t>
              </m:r>
              <m:r>
                <m:t>e</m:t>
              </m:r>
              <m:r>
                <m:t>d</m:t>
              </m:r>
              <m:r>
                <m:t>u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p</m:t>
              </m:r>
              <m:r>
                <m:t>a</m:t>
              </m:r>
              <m:r>
                <m:t>r</m:t>
              </m:r>
              <m:r>
                <m:t>k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p</m:t>
              </m:r>
              <m:r>
                <m:t>o</m:t>
              </m:r>
              <m:r>
                <m:t>p</m:t>
              </m:r>
              <m:r>
                <m:t>g</m:t>
              </m:r>
              <m:r>
                <m:t>i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h</m:t>
              </m:r>
              <m:r>
                <m:t>e</m:t>
              </m:r>
              <m:r>
                <m:t>A</m:t>
              </m:r>
              <m:r>
                <m:t>I</m:t>
              </m:r>
              <m:r>
                <m:rPr>
                  <m:sty m:val="p"/>
                </m:rPr>
                <m:t>−</m:t>
              </m:r>
              <m:r>
                <m:t>v</m:t>
              </m:r>
              <m:r>
                <m:t>e</m:t>
              </m:r>
              <m:r>
                <m:t>l</m:t>
              </m:r>
              <m:r>
                <m:t>o</m:t>
              </m:r>
              <m:r>
                <m:t>c</m:t>
              </m:r>
              <m:r>
                <m:t>i</m:t>
              </m:r>
              <m:r>
                <m:t>t</m:t>
              </m:r>
              <m:r>
                <m:t>y</m:t>
              </m:r>
              <m:r>
                <m:t>n</m:t>
              </m:r>
              <m:r>
                <m:t>a</m:t>
              </m:r>
              <m:r>
                <m:t>r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a</m:t>
              </m:r>
              <m:r>
                <m:t>n</m:t>
              </m:r>
              <m:r>
                <m:t>d</m:t>
              </m:r>
              <m:r>
                <m:t>m</m:t>
              </m:r>
              <m:r>
                <m:t>o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u</m:t>
              </m:r>
              <m:r>
                <m:t>m</m:t>
              </m:r>
              <m:r>
                <m:rPr>
                  <m:sty m:val="p"/>
                </m:rPr>
                <m:t>.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t</m:t>
              </m:r>
              <m:r>
                <m:t>o</m:t>
              </m:r>
              <m:r>
                <m:t>c</m:t>
              </m:r>
              <m:r>
                <m:t>k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d</m:t>
              </m:r>
              <m:r>
                <m:t>y</m:t>
              </m:r>
              <m:r>
                <m:t>r</m:t>
              </m:r>
              <m:r>
                <m:t>a</m:t>
              </m:r>
              <m:r>
                <m:t>n</m:t>
              </m:r>
              <m:r>
                <m:t> </m:t>
              </m:r>
              <m:r>
                <m:t>20</m:t>
              </m:r>
            </m:oMath>
            <w:r>
              <w:t xml:space="preserve">70 in early May to ~$85), so expectations are elevated. The out-period math caps follow-through: management's own framing of Borrow/consumer-lending deceleration in H2 and the reiterated mid-teens GP exit-rate limits how far forward estimates can be revised up even on a beat, so 2H/2027 numbers don't inflect much. That plus programmatic insider selling into strength pulls part of the day-1 gain back, leaving a positive-but-fading 5-day residual.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2026-08-05T01:14:07Z</dcterms:created>
  <dcterms:modified xsi:type="dcterms:W3CDTF">2026-08-05T01:14:07Z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