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 have the Q1 2026 details. Let me gather recent news and stock price context to round out the preview.# Block, Inc. (NYSE: XYZ) — Q2 2026 Earnings Preview</w:t>
      </w:r>
    </w:p>
    <w:bookmarkStart w:id="9" w:name="X5a4ccf0a589576e9511937ba266288a9caf2d79"/>
    <w:p>
      <w:pPr>
        <w:pStyle w:val="Heading3"/>
      </w:pPr>
      <w:r>
        <w:t xml:space="preserve">Reports after market close, Tuesday, August 5, 2026 | Earnings call 5:00 p.m. ET</w:t>
      </w:r>
    </w:p>
    <w:p>
      <w:r>
        <w:pict>
          <v:rect style="width:0;height:1.5pt" o:hralign="center" o:hrstd="t" o:hr="t"/>
        </w:pict>
      </w:r>
    </w:p>
    <w:bookmarkEnd w:id="9"/>
    <w:bookmarkStart w:id="10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Block heads into its Q2 print with strong momentum in both the business and the stock. Q1 2026 was a clean beat-and-raise: gross profit grew</w:t>
      </w:r>
      <w:r>
        <w:t xml:space="preserve"> </w:t>
      </w:r>
      <w:r>
        <w:rPr>
          <w:b/>
          <w:bCs/>
        </w:rPr>
        <w:t xml:space="preserve">27% YoY to $2.91B</w:t>
      </w:r>
      <w:r>
        <w:t xml:space="preserve">, adjusted operating income rose</w:t>
      </w:r>
      <w:r>
        <w:t xml:space="preserve"> </w:t>
      </w:r>
      <w:r>
        <w:rPr>
          <w:b/>
          <w:bCs/>
        </w:rPr>
        <w:t xml:space="preserve">56% to a record $728M (25% margin)</w:t>
      </w:r>
      <w:r>
        <w:t xml:space="preserve">, and adjusted diluted EPS grew</w:t>
      </w:r>
      <w:r>
        <w:t xml:space="preserve"> </w:t>
      </w:r>
      <w:r>
        <w:rPr>
          <w:b/>
          <w:bCs/>
        </w:rPr>
        <w:t xml:space="preserve">52% to $0.85</w:t>
      </w:r>
      <w:r>
        <w:t xml:space="preserve"> </w:t>
      </w:r>
      <w:r>
        <w:t xml:space="preserve">— all-time highs on both a dollar and margin basis. Management raised the full-year outlook and leaned hard into an AI-driven operating transformation.</w:t>
      </w:r>
    </w:p>
    <w:p>
      <w:pPr>
        <w:pStyle w:val="BodyText"/>
      </w:pPr>
      <w:r>
        <w:t xml:space="preserve">The stock has responded. XYZ has rallied from the low-</w:t>
      </w:r>
      <m:oMath>
        <m:r>
          <m:t>50</m:t>
        </m:r>
        <m:r>
          <m:t>s</m:t>
        </m:r>
        <m:r>
          <m:t>i</m:t>
        </m:r>
        <m:r>
          <m:t>n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  <m:r>
          <m:t>F</m:t>
        </m:r>
        <m:r>
          <m:t>e</m:t>
        </m:r>
        <m:r>
          <m:t>b</m:t>
        </m:r>
        <m:r>
          <m:t>r</m:t>
        </m:r>
        <m:r>
          <m:t>u</m:t>
        </m:r>
        <m:r>
          <m:t>a</m:t>
        </m:r>
        <m:r>
          <m:t>r</m:t>
        </m:r>
        <m:r>
          <m:t>y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85 as of August 4**, roughly a 65% move off the lows and near 52-week highs. That means expectations are elevated going into this report — the bar is no longer just "beat," it's "beat and re-raise again."</w:t>
      </w:r>
    </w:p>
    <w:p>
      <w:r>
        <w:pict>
          <v:rect style="width:0;height:1.5pt" o:hralign="center" o:hrstd="t" o:hr="t"/>
        </w:pict>
      </w:r>
    </w:p>
    <w:bookmarkEnd w:id="10"/>
    <w:bookmarkStart w:id="11" w:name="X7357b10789d0b00c01a2961aeeeb040784f6b3c"/>
    <w:p>
      <w:pPr>
        <w:pStyle w:val="Heading2"/>
      </w:pPr>
      <w:r>
        <w:t xml:space="preserve">What Management Guided For (the numbers to beat)</w:t>
      </w:r>
    </w:p>
    <w:p>
      <w:pPr>
        <w:pStyle w:val="FirstParagraph"/>
      </w:pPr>
      <w:r>
        <w:t xml:space="preserve">For</w:t>
      </w:r>
      <w:r>
        <w:t xml:space="preserve"> </w:t>
      </w:r>
      <w:r>
        <w:rPr>
          <w:b/>
          <w:bCs/>
        </w:rPr>
        <w:t xml:space="preserve">Q2 2026</w:t>
      </w:r>
      <w:r>
        <w:t xml:space="preserve">, Block guided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Guide</w:t>
            </w:r>
          </w:p>
        </w:tc>
        <w:tc>
          <w:tcPr/>
          <w:p>
            <w:pPr>
              <w:pStyle w:val="Compact"/>
            </w:pPr>
            <w:r>
              <w:t xml:space="preserve">YoY Growth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t xml:space="preserve">$3.04B</w:t>
            </w:r>
          </w:p>
        </w:tc>
        <w:tc>
          <w:tcPr/>
          <w:p>
            <w:pPr>
              <w:pStyle w:val="Compact"/>
            </w:pPr>
            <w:r>
              <w:t xml:space="preserve">+20%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</w:pPr>
            <w:r>
              <w:t xml:space="preserve">$740M</w:t>
            </w:r>
          </w:p>
        </w:tc>
        <w:tc>
          <w:tcPr/>
          <w:p>
            <w:pPr>
              <w:pStyle w:val="Compact"/>
            </w:pPr>
            <w:r>
              <w:t xml:space="preserve">+35%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OI Margin</w:t>
            </w:r>
          </w:p>
        </w:tc>
        <w:tc>
          <w:tcPr/>
          <w:p>
            <w:pPr>
              <w:pStyle w:val="Compact"/>
            </w:pPr>
            <w:r>
              <w:t xml:space="preserve">24%</w:t>
            </w:r>
          </w:p>
        </w:tc>
        <w:tc>
          <w:tcPr/>
          <w:p>
            <w:pPr>
              <w:pStyle w:val="Compact"/>
            </w:pPr>
            <w:r>
              <w:t xml:space="preserve">+2 pts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$0.86</w:t>
            </w:r>
          </w:p>
        </w:tc>
        <w:tc>
          <w:tcPr/>
          <w:p>
            <w:pPr>
              <w:pStyle w:val="Compact"/>
            </w:pPr>
            <w:r>
              <w:t xml:space="preserve">+39%</w:t>
            </w:r>
          </w:p>
        </w:tc>
      </w:tr>
    </w:tbl>
    <w:p>
      <w:pPr>
        <w:pStyle w:val="BodyText"/>
      </w:pPr>
      <w:r>
        <w:t xml:space="preserve">For the</w:t>
      </w:r>
      <w:r>
        <w:t xml:space="preserve"> </w:t>
      </w:r>
      <w:r>
        <w:rPr>
          <w:b/>
          <w:bCs/>
        </w:rPr>
        <w:t xml:space="preserve">full year 2026</w:t>
      </w:r>
      <w:r>
        <w:t xml:space="preserve"> </w:t>
      </w:r>
      <w:r>
        <w:t xml:space="preserve">(raised at Q1):</w:t>
      </w:r>
    </w:p>
    <w:p>
      <w:pPr>
        <w:pStyle w:val="Compact"/>
        <w:numPr>
          <w:ilvl w:val="0"/>
          <w:numId w:val="1001"/>
        </w:numPr>
      </w:pPr>
      <w:r>
        <w:t xml:space="preserve">Gross profit</w:t>
      </w:r>
      <w:r>
        <w:t xml:space="preserve"> </w:t>
      </w:r>
      <w:r>
        <w:rPr>
          <w:b/>
          <w:bCs/>
        </w:rPr>
        <w:t xml:space="preserve">$12.33B (+19%)</w:t>
      </w:r>
    </w:p>
    <w:p>
      <w:pPr>
        <w:pStyle w:val="Compact"/>
        <w:numPr>
          <w:ilvl w:val="0"/>
          <w:numId w:val="1001"/>
        </w:numPr>
      </w:pPr>
      <w:r>
        <w:t xml:space="preserve">Adjusted operating income</w:t>
      </w:r>
      <w:r>
        <w:t xml:space="preserve"> </w:t>
      </w:r>
      <w:r>
        <w:rPr>
          <w:b/>
          <w:bCs/>
        </w:rPr>
        <w:t xml:space="preserve">$3.34B (27% margin, +60%)</w:t>
      </w:r>
    </w:p>
    <w:p>
      <w:pPr>
        <w:pStyle w:val="Compact"/>
        <w:numPr>
          <w:ilvl w:val="0"/>
          <w:numId w:val="1001"/>
        </w:numPr>
      </w:pPr>
      <w:r>
        <w:t xml:space="preserve">Adjusted diluted EPS</w:t>
      </w:r>
      <w:r>
        <w:t xml:space="preserve"> </w:t>
      </w:r>
      <w:r>
        <w:rPr>
          <w:b/>
          <w:bCs/>
        </w:rPr>
        <w:t xml:space="preserve">$3.85 (+62%)</w:t>
      </w:r>
    </w:p>
    <w:p>
      <w:pPr>
        <w:pStyle w:val="Compact"/>
        <w:numPr>
          <w:ilvl w:val="0"/>
          <w:numId w:val="1001"/>
        </w:numPr>
      </w:pPr>
      <w:r>
        <w:t xml:space="preserve">"Rule of X" of 46%</w:t>
      </w:r>
    </w:p>
    <w:p>
      <w:pPr>
        <w:pStyle w:val="FirstParagraph"/>
      </w:pPr>
      <w:r>
        <w:t xml:space="preserve">Critically, management reiterated it expects to</w:t>
      </w:r>
      <w:r>
        <w:t xml:space="preserve"> </w:t>
      </w:r>
      <w:r>
        <w:rPr>
          <w:b/>
          <w:bCs/>
        </w:rPr>
        <w:t xml:space="preserve">exit 2026 at a mid-teens gross profit growth rate</w:t>
      </w:r>
      <w:r>
        <w:t xml:space="preserve"> </w:t>
      </w:r>
      <w:r>
        <w:t xml:space="preserve">— consistent with the long-term framework laid out at the November 2025 Investor Day. Watch whether that exit-rate commitment holds, or whether the strong start pulls the full-year guide higher again.</w:t>
      </w:r>
    </w:p>
    <w:p>
      <w:r>
        <w:pict>
          <v:rect style="width:0;height:1.5pt" o:hralign="center" o:hrstd="t" o:hr="t"/>
        </w:pict>
      </w:r>
    </w:p>
    <w:bookmarkEnd w:id="11"/>
    <w:bookmarkStart w:id="18" w:name="key-debates--what-to-watch"/>
    <w:p>
      <w:pPr>
        <w:pStyle w:val="Heading2"/>
      </w:pPr>
      <w:r>
        <w:t xml:space="preserve">Key Debates &amp; What to Watch</w:t>
      </w:r>
    </w:p>
    <w:bookmarkStart w:id="12" w:name="X3034f297d6183436691320c07a2b3c2593543a3"/>
    <w:p>
      <w:pPr>
        <w:pStyle w:val="Heading3"/>
      </w:pPr>
      <w:r>
        <w:t xml:space="preserve">1. Cash App Borrow — the growth engine is set to decelerate</w:t>
      </w:r>
    </w:p>
    <w:p>
      <w:pPr>
        <w:pStyle w:val="FirstParagraph"/>
      </w:pPr>
      <w:r>
        <w:t xml:space="preserve">Borrow has been the single biggest driver of Cash App. Q1 consumer-lending origination volume grew</w:t>
      </w:r>
      <w:r>
        <w:t xml:space="preserve"> </w:t>
      </w:r>
      <w:r>
        <w:rPr>
          <w:b/>
          <w:bCs/>
        </w:rPr>
        <w:t xml:space="preserve">82% YoY to $17.6B</w:t>
      </w:r>
      <w:r>
        <w:t xml:space="preserve">, with Borrow originations alone up</w:t>
      </w:r>
      <w:r>
        <w:t xml:space="preserve"> </w:t>
      </w:r>
      <w:r>
        <w:rPr>
          <w:b/>
          <w:bCs/>
        </w:rPr>
        <w:t xml:space="preserve">175%</w:t>
      </w:r>
      <w:r>
        <w:t xml:space="preserve">. But management explicitly flagged that Borrow growth will</w:t>
      </w:r>
      <w:r>
        <w:t xml:space="preserve"> </w:t>
      </w:r>
      <w:r>
        <w:rPr>
          <w:b/>
          <w:bCs/>
        </w:rPr>
        <w:t xml:space="preserve">normalize in H2</w:t>
      </w:r>
      <w:r>
        <w:t xml:space="preserve"> </w:t>
      </w:r>
      <w:r>
        <w:t xml:space="preserve">as it laps a year of exceptional expansion.</w:t>
      </w:r>
    </w:p>
    <w:p>
      <w:pPr>
        <w:pStyle w:val="BodyText"/>
      </w:pPr>
      <w:r>
        <w:t xml:space="preserve">Watch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deceleration slope</w:t>
      </w:r>
      <w:r>
        <w:t xml:space="preserve"> </w:t>
      </w:r>
      <w:r>
        <w:t xml:space="preserve">in consumer lending origination growth — how gracefully it comes down matters for the Cash App narrative.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Loss rates by cohort.</w:t>
      </w:r>
      <w:r>
        <w:t xml:space="preserve"> </w:t>
      </w:r>
      <w:r>
        <w:t xml:space="preserve">Q1 showed 3.16% / 3.01% / 2.67% for 0–6mo, 7–12mo, and 13+mo cohorts respectively. The bull case rests on mix-shift toward mature, lower-loss cohorts driving variable profit even as growth slows. Any uptick in loss rates would be a red flag.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"next legs":</w:t>
      </w:r>
      <w:r>
        <w:t xml:space="preserve"> </w:t>
      </w:r>
      <w:r>
        <w:t xml:space="preserve">Afterpay Post-Purchase (growing faster than Borrow at a comparable stage and adding net-new BNPL customers), the newly launched Afterpay Pre-Purchase, BNPL on Cash App Pay and P2P, and Cash App Score monetization.</w:t>
      </w:r>
    </w:p>
    <w:bookmarkEnd w:id="12"/>
    <w:bookmarkStart w:id="13" w:name="Xb8ed36a0272b7b9e28f4ffff4fffd1f58fe140a"/>
    <w:p>
      <w:pPr>
        <w:pStyle w:val="Heading3"/>
      </w:pPr>
      <w:r>
        <w:t xml:space="preserve">2. Square GP-vs-GPV convergence</w:t>
      </w:r>
    </w:p>
    <w:p>
      <w:pPr>
        <w:pStyle w:val="FirstParagraph"/>
      </w:pPr>
      <w:r>
        <w:t xml:space="preserve">Square gross profit grew only 9% in Q1 while GPV grew 13% (11% ex-hardware). Management guided that</w:t>
      </w:r>
      <w:r>
        <w:t xml:space="preserve"> </w:t>
      </w:r>
      <w:r>
        <w:rPr>
          <w:b/>
          <w:bCs/>
        </w:rPr>
        <w:t xml:space="preserve">Square GP should grow roughly in line with GPV in H2</w:t>
      </w:r>
      <w:r>
        <w:t xml:space="preserve"> </w:t>
      </w:r>
      <w:r>
        <w:t xml:space="preserve">as it laps last year's operational processing change and the Q2'25 network remediation payment.</w:t>
      </w:r>
    </w:p>
    <w:p>
      <w:pPr>
        <w:pStyle w:val="BodyText"/>
      </w:pPr>
      <w:r>
        <w:t xml:space="preserve">For Q2 specifically, note two one-timers pulling in opposite directions: a</w:t>
      </w:r>
      <w:r>
        <w:t xml:space="preserve"> </w:t>
      </w:r>
      <w:r>
        <w:rPr>
          <w:b/>
          <w:bCs/>
        </w:rPr>
        <w:t xml:space="preserve">headwind from lapping the network remediation payment</w:t>
      </w:r>
      <w:r>
        <w:t xml:space="preserve"> </w:t>
      </w:r>
      <w:r>
        <w:t xml:space="preserve">and a</w:t>
      </w:r>
      <w:r>
        <w:t xml:space="preserve"> </w:t>
      </w:r>
      <w:r>
        <w:rPr>
          <w:b/>
          <w:bCs/>
        </w:rPr>
        <w:t xml:space="preserve">benefit from a one-time tariff refund on Square hardware</w:t>
      </w:r>
      <w:r>
        <w:t xml:space="preserve">. Management said the GP/GPV gap should narrow versus Q1. The health of GPV itself looked good — F&amp;B +21%, mid-market +22%, international +35% — all the strongest since Q1 2023.</w:t>
      </w:r>
    </w:p>
    <w:bookmarkEnd w:id="13"/>
    <w:bookmarkStart w:id="14" w:name="Xb8e0da134d47020cf38bd4adbed84c2eefd7dd3"/>
    <w:p>
      <w:pPr>
        <w:pStyle w:val="Heading3"/>
      </w:pPr>
      <w:r>
        <w:t xml:space="preserve">3. Early Q2 datapoints already disclosed</w:t>
      </w:r>
    </w:p>
    <w:p>
      <w:pPr>
        <w:pStyle w:val="FirstParagraph"/>
      </w:pPr>
      <w:r>
        <w:t xml:space="preserve">On the Q1 call, management gave April color:</w:t>
      </w:r>
      <w:r>
        <w:t xml:space="preserve"> </w:t>
      </w:r>
      <w:r>
        <w:rPr>
          <w:b/>
          <w:bCs/>
        </w:rPr>
        <w:t xml:space="preserve">Square GPV +12% cc</w:t>
      </w:r>
      <w:r>
        <w:t xml:space="preserve"> </w:t>
      </w:r>
      <w:r>
        <w:t xml:space="preserve">(US +9%, international +25% cc), with healthy Cash App inflows and monetization. These set a baseline — the read-through will be whether the full quarter sustained or improved on that pace.</w:t>
      </w:r>
    </w:p>
    <w:bookmarkEnd w:id="14"/>
    <w:bookmarkStart w:id="15" w:name="X10eb92454738e11ce3c441d26ed7cb2c6c26f40"/>
    <w:p>
      <w:pPr>
        <w:pStyle w:val="Heading3"/>
      </w:pPr>
      <w:r>
        <w:t xml:space="preserve">4. Go-to-market spend step-up</w:t>
      </w:r>
    </w:p>
    <w:p>
      <w:pPr>
        <w:pStyle w:val="FirstParagraph"/>
      </w:pPr>
      <w:r>
        <w:t xml:space="preserve">Management said it would</w:t>
      </w:r>
      <w:r>
        <w:t xml:space="preserve"> </w:t>
      </w:r>
      <w:r>
        <w:rPr>
          <w:b/>
          <w:bCs/>
        </w:rPr>
        <w:t xml:space="preserve">meaningfully increase go-to-market investment in Q2</w:t>
      </w:r>
      <w:r>
        <w:t xml:space="preserve"> </w:t>
      </w:r>
      <w:r>
        <w:t xml:space="preserve">in high-ROI channels. Expect margins to be a touch pressured in Q2 (guided to 24% AOI margin vs. 25% in Q1), with margin expansion resuming in Q3/Q4. The distribution story — field sales (now in US, UK, Australia, Canada), self-onboard, and the fast-ramping</w:t>
      </w:r>
      <w:r>
        <w:t xml:space="preserve"> </w:t>
      </w:r>
      <w:r>
        <w:rPr>
          <w:b/>
          <w:bCs/>
        </w:rPr>
        <w:t xml:space="preserve">ISO channel (140+ partners)</w:t>
      </w:r>
      <w:r>
        <w:t xml:space="preserve"> </w:t>
      </w:r>
      <w:r>
        <w:t xml:space="preserve">— is a key durability signal for Square.</w:t>
      </w:r>
    </w:p>
    <w:bookmarkEnd w:id="15"/>
    <w:bookmarkStart w:id="16" w:name="Xac99b9cc25fdec013bc895bb02a96f83510d997"/>
    <w:p>
      <w:pPr>
        <w:pStyle w:val="Heading3"/>
      </w:pPr>
      <w:r>
        <w:t xml:space="preserve">5. The AI / "protector" narrative</w:t>
      </w:r>
    </w:p>
    <w:p>
      <w:pPr>
        <w:pStyle w:val="FirstParagraph"/>
      </w:pPr>
      <w:r>
        <w:t xml:space="preserve">Jack Dorsey has made AI the central theme, framing Block as evolving into an "intelligence company." Watch for updates on: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Managerbot</w:t>
      </w:r>
      <w:r>
        <w:t xml:space="preserve"> </w:t>
      </w:r>
      <w:r>
        <w:t xml:space="preserve">— reached GA for all Square sellers in June (was 1M+ sellers in Q1); early retention "surprised to the upside."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Moneybot</w:t>
      </w:r>
      <w:r>
        <w:t xml:space="preserve"> </w:t>
      </w:r>
      <w:r>
        <w:t xml:space="preserve">— now GA in Cash App; ~1/3 of money-movement users attached to a new product.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Builderbot / internal velocity</w:t>
      </w:r>
      <w:r>
        <w:t xml:space="preserve"> </w:t>
      </w:r>
      <w:r>
        <w:t xml:space="preserve">— production code changes per engineer up 2.5x since January. This is the crux of the margin-expansion-with-reinvestment story; investors will want proof it's translating to shipped product and durable opex leverage.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Neighborhoods</w:t>
      </w:r>
      <w:r>
        <w:t xml:space="preserve"> </w:t>
      </w:r>
      <w:r>
        <w:t xml:space="preserve">— the Square↔Cash App connector inflected in April ($320M annualized GPV, +190% since December). Management expects it to become a</w:t>
      </w:r>
      <w:r>
        <w:t xml:space="preserve"> </w:t>
      </w:r>
      <w:r>
        <w:rPr>
          <w:b/>
          <w:bCs/>
        </w:rPr>
        <w:t xml:space="preserve">meaningful Cash App actives driver in H2</w:t>
      </w:r>
      <w:r>
        <w:t xml:space="preserve"> </w:t>
      </w:r>
      <w:r>
        <w:t xml:space="preserve">— an important user-growth catalyst to monitor.</w:t>
      </w:r>
    </w:p>
    <w:bookmarkEnd w:id="16"/>
    <w:bookmarkStart w:id="17" w:name="Xfc10ce9ee8a15d0cd5d196af1a7299a99a75aad"/>
    <w:p>
      <w:pPr>
        <w:pStyle w:val="Heading3"/>
      </w:pPr>
      <w:r>
        <w:t xml:space="preserve">6. Cash App actives &amp; engagement</w:t>
      </w:r>
    </w:p>
    <w:p>
      <w:pPr>
        <w:pStyle w:val="FirstParagraph"/>
      </w:pPr>
      <w:r>
        <w:t xml:space="preserve">Monthly transacting actives grew just</w:t>
      </w:r>
      <w:r>
        <w:t xml:space="preserve"> </w:t>
      </w:r>
      <w:r>
        <w:rPr>
          <w:b/>
          <w:bCs/>
        </w:rPr>
        <w:t xml:space="preserve">4% YoY (~59M)</w:t>
      </w:r>
      <w:r>
        <w:t xml:space="preserve"> </w:t>
      </w:r>
      <w:r>
        <w:t xml:space="preserve">— network growth remains the softer spot versus deep engagement (inflows/active +10%, PBAs +18% to 9.7M). Management guided to</w:t>
      </w:r>
      <w:r>
        <w:t xml:space="preserve"> </w:t>
      </w:r>
      <w:r>
        <w:rPr>
          <w:b/>
          <w:bCs/>
        </w:rPr>
        <w:t xml:space="preserve">low-single-digit actives growth</w:t>
      </w:r>
      <w:r>
        <w:t xml:space="preserve"> </w:t>
      </w:r>
      <w:r>
        <w:t xml:space="preserve">for the rest of 2026 and warned of a</w:t>
      </w:r>
      <w:r>
        <w:t xml:space="preserve"> </w:t>
      </w:r>
      <w:r>
        <w:rPr>
          <w:b/>
          <w:bCs/>
        </w:rPr>
        <w:t xml:space="preserve">slight seasonal sequential PBA decline in Q2 vs. Q1</w:t>
      </w:r>
      <w:r>
        <w:t xml:space="preserve">. Don't be surprised by a modest PBA step-down; the trend line matters more than the sequential.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modeling-housekeeping-from-management"/>
    <w:p>
      <w:pPr>
        <w:pStyle w:val="Heading2"/>
      </w:pPr>
      <w:r>
        <w:t xml:space="preserve">Modeling Housekeeping (from management)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Q2 interest expense:</w:t>
      </w:r>
      <w:r>
        <w:t xml:space="preserve"> </w:t>
      </w:r>
      <m:oMath>
        <m:r>
          <m:t>55</m:t>
        </m:r>
        <m:r>
          <m:rPr>
            <m:sty m:val="p"/>
          </m:rPr>
          <m:t>–</m:t>
        </m:r>
        <m:r>
          <m:t>60</m:t>
        </m:r>
        <m:r>
          <m:t>M</m:t>
        </m:r>
        <m:r>
          <m:rPr>
            <m:sty m:val="p"/>
          </m:rPr>
          <m:t>(</m:t>
        </m:r>
        <m:r>
          <m:t>f</m:t>
        </m:r>
        <m:r>
          <m:t>u</m:t>
        </m:r>
        <m:r>
          <m:t>l</m:t>
        </m:r>
        <m:r>
          <m:t>l</m:t>
        </m:r>
        <m:r>
          <m:t>y</m:t>
        </m:r>
        <m:r>
          <m:t>e</m:t>
        </m:r>
        <m:r>
          <m:t>a</m:t>
        </m:r>
        <m:r>
          <m:t>r</m:t>
        </m:r>
        <m:r>
          <m:t> </m:t>
        </m:r>
      </m:oMath>
      <w:r>
        <w:t xml:space="preserve">200–210M)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Non-GAAP effective tax rate:</w:t>
      </w:r>
      <w:r>
        <w:t xml:space="preserve"> </w:t>
      </w:r>
      <w:r>
        <w:t xml:space="preserve">mid-20% for Q2 and FY26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GAAP vs. adjusted gap:</w:t>
      </w:r>
      <w:r>
        <w:t xml:space="preserve"> </w:t>
      </w:r>
      <w:r>
        <w:t xml:space="preserve">GAAP results remain noisy. Q1 GAAP EPS was **–</w:t>
      </w:r>
      <m:oMath>
        <m:r>
          <m:t>0.52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h</m:t>
        </m:r>
        <m:r>
          <m:t>i</m:t>
        </m:r>
        <m:r>
          <m:t>t</m:t>
        </m:r>
        <m:r>
          <m:t>b</m:t>
        </m:r>
        <m:r>
          <m:t>y</m:t>
        </m:r>
        <m:r>
          <m:t> </m:t>
        </m:r>
      </m:oMath>
      <w:r>
        <w:t xml:space="preserve">852M of restructuring/legal charges (from the February reorg) and a</w:t>
      </w:r>
      <w:r>
        <w:t xml:space="preserve"> </w:t>
      </w:r>
      <w:r>
        <w:rPr>
          <w:b/>
          <w:bCs/>
        </w:rPr>
        <w:t xml:space="preserve">$173M bitcoin remeasurement loss</w:t>
      </w:r>
      <w:r>
        <w:t xml:space="preserve">. Expect bitcoin mark-to-market swings and residual restructuring items to keep GAAP and adjusted numbers far apart — focus on adjusted metrics and cash flow.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 return:</w:t>
      </w:r>
      <w:r>
        <w:t xml:space="preserve"> </w:t>
      </w:r>
      <w:r>
        <w:t xml:space="preserve">Block repurchased</w:t>
      </w:r>
      <w:r>
        <w:t xml:space="preserve"> </w:t>
      </w:r>
      <m:oMath>
        <m:r>
          <m:t>636</m:t>
        </m:r>
        <m:r>
          <m:t>M</m:t>
        </m:r>
        <m:r>
          <m:rPr>
            <m:sty m:val="p"/>
          </m:rPr>
          <m:t>(</m:t>
        </m:r>
        <m:r>
          <m:t>10.7</m:t>
        </m:r>
        <m:r>
          <m:t>M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s</m:t>
        </m:r>
        <m:r>
          <m:rPr>
            <m:sty m:val="p"/>
          </m:rPr>
          <m:t>)</m:t>
        </m:r>
        <m:r>
          <m:t>i</m:t>
        </m:r>
        <m:r>
          <m:t>n</m:t>
        </m:r>
        <m:r>
          <m:t>Q</m:t>
        </m:r>
        <m:r>
          <m:t>1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4.7B remaining** on authorization; buybacks are supporting per-share growth.</w:t>
      </w:r>
    </w:p>
    <w:p>
      <w:r>
        <w:pict>
          <v:rect style="width:0;height:1.5pt" o:hralign="center" o:hrstd="t" o:hr="t"/>
        </w:pict>
      </w:r>
    </w:p>
    <w:bookmarkEnd w:id="19"/>
    <w:bookmarkStart w:id="20" w:name="sentiment-check"/>
    <w:p>
      <w:pPr>
        <w:pStyle w:val="Heading2"/>
      </w:pPr>
      <w:r>
        <w:t xml:space="preserve">Sentiment Check</w:t>
      </w:r>
    </w:p>
    <w:p>
      <w:pPr>
        <w:pStyle w:val="FirstParagraph"/>
      </w:pPr>
      <w:r>
        <w:t xml:space="preserve">Recent insider activity is limited to routine, pre-scheduled (10b5-1) sales — most notably director</w:t>
      </w:r>
      <w:r>
        <w:t xml:space="preserve"> </w:t>
      </w:r>
      <w:r>
        <w:rPr>
          <w:b/>
          <w:bCs/>
        </w:rPr>
        <w:t xml:space="preserve">Anthony Eisen</w:t>
      </w:r>
      <w:r>
        <w:t xml:space="preserve"> </w:t>
      </w:r>
      <w:r>
        <w:t xml:space="preserve">(Afterpay co-founder) trimming ~$460–495K blocks and a planned filing from</w:t>
      </w:r>
      <w:r>
        <w:t xml:space="preserve"> </w:t>
      </w:r>
      <w:r>
        <w:rPr>
          <w:b/>
          <w:bCs/>
        </w:rPr>
        <w:t xml:space="preserve">Brian Grassadonia</w:t>
      </w:r>
      <w:r>
        <w:t xml:space="preserve"> </w:t>
      </w:r>
      <w:r>
        <w:t xml:space="preserve">— each representing ~0% of holdings. These look programmatic rather than signal-bearing, but worth noting given the stock's run.</w:t>
      </w:r>
    </w:p>
    <w:p>
      <w:r>
        <w:pict>
          <v:rect style="width:0;height:1.5pt" o:hralign="center" o:hrstd="t" o:hr="t"/>
        </w:pict>
      </w:r>
    </w:p>
    <w:bookmarkEnd w:id="20"/>
    <w:bookmarkStart w:id="21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XYZ enters the print with the wind at its back: accelerating gross profit, record margins, a raised full-year guide, and a stock near highs. The reward-to-risk is now more balanced. The</w:t>
      </w:r>
      <w:r>
        <w:t xml:space="preserve"> </w:t>
      </w:r>
      <w:r>
        <w:rPr>
          <w:b/>
          <w:bCs/>
        </w:rPr>
        <w:t xml:space="preserve">positive catalysts</w:t>
      </w:r>
      <w:r>
        <w:t xml:space="preserve"> </w:t>
      </w:r>
      <w:r>
        <w:t xml:space="preserve">would be another beat-and-raise, evidence that Square GP/GPV is converging on schedule, and proof that AI-driven velocity plus new growth legs (Afterpay Pre-Purchase, Cash App Score, Neighborhoods) can offset Borrow's deceleration. The</w:t>
      </w:r>
      <w:r>
        <w:t xml:space="preserve"> </w:t>
      </w:r>
      <w:r>
        <w:rPr>
          <w:b/>
          <w:bCs/>
        </w:rPr>
        <w:t xml:space="preserve">key risks</w:t>
      </w:r>
      <w:r>
        <w:t xml:space="preserve"> </w:t>
      </w:r>
      <w:r>
        <w:t xml:space="preserve">are a sharper-than-expected Borrow slowdown, any deterioration in lending loss rates, soft Cash App actives, and margin optics from the Q2 go-to-market step-up. With the guide already implying +20% GP and +39% EPS growth for the quarter, the market will be laser-focused on whether management again nudges the full-year outlook higher — and whether the mid-teens exit-rate story stays intact.</w:t>
      </w:r>
    </w:p>
    <w:p>
      <w:pPr>
        <w:pStyle w:val="BodyText"/>
      </w:pPr>
      <w:r>
        <w:rPr>
          <w:i/>
          <w:iCs/>
        </w:rPr>
        <w:t xml:space="preserve">Note: "XYZ" is the NYSE ticker for Block, Inc. (formerly SQ). Figures above are drawn from Block's Q1 2026 shareholder letter and earnings call; all forward figures are company guidance, not consensus.</w:t>
      </w:r>
    </w:p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2026-08-05T01:14:07Z</dcterms:created>
  <dcterms:modified xsi:type="dcterms:W3CDTF">2026-08-05T01:14:07Z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