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52f0889f6bbfb571604053364245b90e225bf23"/>
    <w:p>
      <w:pPr>
        <w:pStyle w:val="Heading1"/>
      </w:pPr>
      <w:r>
        <w:t xml:space="preserve">Block, Inc. (NYSE: XYZ) — Q2 2026 Earnings Preview</w:t>
      </w:r>
    </w:p>
    <w:p>
      <w:pPr>
        <w:pStyle w:val="FirstParagraph"/>
      </w:pPr>
      <w:r>
        <w:rPr>
          <w:b/>
          <w:bCs/>
        </w:rPr>
        <w:t xml:space="preserve">Report Date:</w:t>
      </w:r>
      <w:r>
        <w:t xml:space="preserve"> </w:t>
      </w:r>
      <w:r>
        <w:t xml:space="preserve">Wednesday, August 5, 2026, after market close · Call at 2:00 p.m. PT / 5:00 p.m.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XYZ shares have been on a strong run heading into the quarter, closing around **</w:t>
      </w:r>
      <m:oMath>
        <m:r>
          <m:t>84.66</m:t>
        </m:r>
        <m:r>
          <m:t>o</m:t>
        </m:r>
        <m:r>
          <m:t>n</m:t>
        </m:r>
        <m:r>
          <m:t>A</m:t>
        </m:r>
        <m:r>
          <m:t>u</m:t>
        </m:r>
        <m:r>
          <m:t>g</m:t>
        </m:r>
        <m:r>
          <m:t>u</m:t>
        </m:r>
        <m:r>
          <m:t>s</m:t>
        </m:r>
        <m:r>
          <m:t>t</m:t>
        </m:r>
        <m:r>
          <m:t>4</m:t>
        </m:r>
        <m:r>
          <m:rPr>
            <m:sty m:val="p"/>
          </m:rPr>
          <m:t>*</m:t>
        </m:r>
        <m:r>
          <m:rPr>
            <m:sty m:val="p"/>
          </m:rPr>
          <m:t>*</m:t>
        </m:r>
        <m:r>
          <m:rPr>
            <m:sty m:val="p"/>
          </m:rPr>
          <m:t>,</m:t>
        </m:r>
        <m:r>
          <m:t>u</m:t>
        </m:r>
        <m:r>
          <m:t>p</m:t>
        </m:r>
        <m:r>
          <m:t>f</m:t>
        </m:r>
        <m:r>
          <m:t>r</m:t>
        </m:r>
        <m:r>
          <m:t>o</m:t>
        </m:r>
        <m:r>
          <m:t>m</m:t>
        </m:r>
        <m:r>
          <m:t>t</m:t>
        </m:r>
        <m:r>
          <m:t>h</m:t>
        </m:r>
        <m:r>
          <m:t>e</m:t>
        </m:r>
        <m:r>
          <m:t>l</m:t>
        </m:r>
        <m:r>
          <m:t>o</m:t>
        </m:r>
        <m:r>
          <m:t>w</m:t>
        </m:r>
        <m:r>
          <m:rPr>
            <m:sty m:val="p"/>
          </m:rPr>
          <m:t>−</m:t>
        </m:r>
      </m:oMath>
      <w:r>
        <w:t xml:space="preserve">70s in early May — a rally that accelerated through June and July. Analysts note the stock is up roughly 19% in 2026, and within striking distance of its 52-week high of $82.50 even before last week's move above that level. The market has been rewarding a string of upside quarters, and expectations are now elevated: as one analysis framed it, the breakout answered the old question, why won't the stock move, and replaced it with a sharper one: can the move continue without confirmation, which arrives at Q2 2026 earnings.</w:t>
      </w:r>
    </w:p>
    <w:p>
      <w:pPr>
        <w:pStyle w:val="BodyText"/>
      </w:pPr>
      <w:r>
        <w:t xml:space="preserve">That confirmation dynamic raises the bar. Sell-side sentiment has generally improved since Q1 — Goldman Sachs, Citi, and Keefe Bruyette all raised price targets on XYZ stock following the last report — with current consensus price targets in the high-$80s to $111 range and a Buy-leaning consensus rating.</w:t>
      </w:r>
    </w:p>
    <w:bookmarkEnd w:id="9"/>
    <w:bookmarkStart w:id="10" w:name="X8527a8418b15efd6781dc799b12570e8c24a0b6"/>
    <w:p>
      <w:pPr>
        <w:pStyle w:val="Heading2"/>
      </w:pPr>
      <w:r>
        <w:t xml:space="preserve">2. Recap: What Management Guided To</w:t>
      </w:r>
    </w:p>
    <w:p>
      <w:pPr>
        <w:pStyle w:val="FirstParagraph"/>
      </w:pPr>
      <w:r>
        <w:t xml:space="preserve">On the Q1 2026 call, CFO Amrita Ahuja laid out specific Q2 targets that the Street will measure results against tonight. Management guided to gross profit of $3.04 billion or 20% year-over-year growth, adjusted operating income of $740 million, representing 35% growth and 2 points of margin expansion year-over-year and adjusted diluted EPS of $0.86 or 39% growth year-over-year. That guide was set after a Q1 beat in which gross profit grew 27% year-over-year to $2.91 billion, adjusted operating income increased 56% year-over-year to $728 million or 25% margin, and adjusted diluted EPS grew 52% year-over-year to $0.85, prompting a full-year guidance raise to $12.33 billion in gross profit in 2026 or 19% year-over-year growth... along with $3.34 billion in adjusted operating income... and $3.85 in adjusted diluted EPS, up 62% year-over-year.</w:t>
      </w:r>
    </w:p>
    <w:p>
      <w:pPr>
        <w:pStyle w:val="BodyText"/>
      </w:pPr>
      <w:r>
        <w:t xml:space="preserve">Current sell-side consensus is tracking close to that guide:</w:t>
      </w:r>
      <w:r>
        <w:t xml:space="preserve"> </w:t>
      </w:r>
      <w:r>
        <w:rPr>
          <w:b/>
          <w:bCs/>
        </w:rPr>
        <w:t xml:space="preserve">~$0.87 adjusted EPS</w:t>
      </w:r>
      <w:r>
        <w:t xml:space="preserve">, roughly</w:t>
      </w:r>
      <w:r>
        <w:t xml:space="preserve"> </w:t>
      </w:r>
      <w:r>
        <w:rPr>
          <w:b/>
          <w:bCs/>
        </w:rPr>
        <w:t xml:space="preserve">40% year-over-year growth</w:t>
      </w:r>
      <w:r>
        <w:t xml:space="preserve">, per aggregated estimates — essentially in line with management's $0.86 target.</w:t>
      </w:r>
    </w:p>
    <w:bookmarkEnd w:id="10"/>
    <w:bookmarkStart w:id="11" w:name="X1782d1bd0cf98f17052db3fa1b81111ebeeb5c4"/>
    <w:p>
      <w:pPr>
        <w:pStyle w:val="Heading2"/>
      </w:pPr>
      <w:r>
        <w:t xml:space="preserve">3. Key Things to Watch in Tonight's Print</w:t>
      </w:r>
    </w:p>
    <w:p>
      <w:pPr>
        <w:pStyle w:val="FirstParagraph"/>
      </w:pPr>
      <w:r>
        <w:rPr>
          <w:b/>
          <w:bCs/>
        </w:rPr>
        <w:t xml:space="preserve">A. Margin trajectory / Adjusted Operating Income.</w:t>
      </w:r>
      <w:r>
        <w:t xml:space="preserve"> </w:t>
      </w:r>
      <w:r>
        <w:t xml:space="preserve">This is arguably the single most important line. One recent analysis put it bluntly: the number to watch is adjusted operating income against management's roughly $740 million guide, the first clean read on whether the back-half-weighted margin path is on track, with a good outcome being an in-line or better operating-income print with primary banking actives still growing near the 18% pace from Q1, and a bad outcome being a back-half guidance walk-down or Cash App Borrow loss rates drifting above target.</w:t>
      </w:r>
    </w:p>
    <w:p>
      <w:pPr>
        <w:pStyle w:val="BodyText"/>
      </w:pPr>
      <w:r>
        <w:rPr>
          <w:b/>
          <w:bCs/>
        </w:rPr>
        <w:t xml:space="preserve">B. Square GPV/gross-profit convergence.</w:t>
      </w:r>
      <w:r>
        <w:t xml:space="preserve"> </w:t>
      </w:r>
      <w:r>
        <w:t xml:space="preserve">Management specifically flagged that the gap between Square's reported gross-profit growth and GPV growth should narrow this quarter. On the Q1 call, Ahuja noted in the second quarter, we expect the gap between reported gross profit growth and GPV growth to narrow relative to Q1... net of a few onetime elements... as we lap a network remediation payment in the second quarter of last year and as we expect a onetime tariff refund related to Square hardware to benefit gross profit. Investors should watch whether Square gross profit (excluding hardware) is tracking toward the low-teens GPV growth rate.</w:t>
      </w:r>
    </w:p>
    <w:p>
      <w:pPr>
        <w:pStyle w:val="BodyText"/>
      </w:pPr>
      <w:r>
        <w:rPr>
          <w:b/>
          <w:bCs/>
        </w:rPr>
        <w:t xml:space="preserve">C. Cash App Borrow normalization.</w:t>
      </w:r>
      <w:r>
        <w:t xml:space="preserve"> </w:t>
      </w:r>
      <w:r>
        <w:t xml:space="preserve">Borrow has been a massive growth engine — Borrow originations nearly tripled year over year in Q1 — but management explicitly warned growth would decelerate. Ahuja said the company expects Borrow growth to normalize as we now begin to lap some of the very exceptional growth that we've seen for Borrow over this past year, while cohort loss rates (2.67%–3.16% by tenure in Q1) will be a key credit-quality tell.</w:t>
      </w:r>
    </w:p>
    <w:p>
      <w:pPr>
        <w:pStyle w:val="BodyText"/>
      </w:pPr>
      <w:r>
        <w:rPr>
          <w:b/>
          <w:bCs/>
        </w:rPr>
        <w:t xml:space="preserve">D. Primary Banking Actives (PBA) and monthly actives.</w:t>
      </w:r>
      <w:r>
        <w:t xml:space="preserve"> </w:t>
      </w:r>
      <w:r>
        <w:t xml:space="preserve">PBAs reached 9.7 million, up 18% year-over-year in Q1, but management flagged a</w:t>
      </w:r>
      <w:r>
        <w:t xml:space="preserve"> </w:t>
      </w:r>
      <w:r>
        <w:rPr>
          <w:b/>
          <w:bCs/>
        </w:rPr>
        <w:t xml:space="preserve">seasonal step-down</w:t>
      </w:r>
      <w:r>
        <w:t xml:space="preserve"> </w:t>
      </w:r>
      <w:r>
        <w:t xml:space="preserve">is normal: we expect continued year-over-year growth in primary banking actives with a slight seasonal sequential decline in Q2 versus Q1, consistent with typical seasonal trends. Monthly transacting actives grew only 4% y/y in Q1; continued low-single-digit growth is guided for the rest of the year.</w:t>
      </w:r>
    </w:p>
    <w:p>
      <w:pPr>
        <w:pStyle w:val="BodyText"/>
      </w:pPr>
      <w:r>
        <w:rPr>
          <w:b/>
          <w:bCs/>
        </w:rPr>
        <w:t xml:space="preserve">E. AI/product rollout traction — Managerbot, Moneybot, Neighborhoods.</w:t>
      </w:r>
      <w:r>
        <w:t xml:space="preserve"> </w:t>
      </w:r>
      <w:r>
        <w:t xml:space="preserve">These are the qualitative growth-driver story for 2027–2028. Watch for updated stats on Managerbot's rollout (targeted for</w:t>
      </w:r>
      <w:r>
        <w:t xml:space="preserve"> </w:t>
      </w:r>
      <w:r>
        <w:rPr>
          <w:b/>
          <w:bCs/>
        </w:rPr>
        <w:t xml:space="preserve">full Square seller availability in June 2026</w:t>
      </w:r>
      <w:r>
        <w:t xml:space="preserve">), Moneybot engagement following general availability, and Neighborhoods scaling beyond the $320 million in annualized GPV... up 190% from December reported in Q1, when over the month of April alone we added more sellers to Neighborhoods than we did in the entire history of the product previously. Management said Neighborhoods should begin meaningfully driving Cash App actives in the back half of this year.</w:t>
      </w:r>
    </w:p>
    <w:p>
      <w:pPr>
        <w:pStyle w:val="BodyText"/>
      </w:pPr>
      <w:r>
        <w:rPr>
          <w:b/>
          <w:bCs/>
        </w:rPr>
        <w:t xml:space="preserve">F. GAAP optics — restructuring and legal charges.</w:t>
      </w:r>
      <w:r>
        <w:t xml:space="preserve"> </w:t>
      </w:r>
      <w:r>
        <w:t xml:space="preserve">Q1 carried a</w:t>
      </w:r>
      <w:r>
        <w:t xml:space="preserve"> </w:t>
      </w:r>
      <m:oMath>
        <m:r>
          <m:t>309</m:t>
        </m:r>
        <m:r>
          <m:t>m</m:t>
        </m:r>
        <m:r>
          <m:t>i</m:t>
        </m:r>
        <m:r>
          <m:t>l</m:t>
        </m:r>
        <m:r>
          <m:t>l</m:t>
        </m:r>
        <m:r>
          <m:t>i</m:t>
        </m:r>
        <m:r>
          <m:t>o</m:t>
        </m:r>
        <m:r>
          <m:t>n</m:t>
        </m:r>
        <m:r>
          <m:t>n</m:t>
        </m:r>
        <m:r>
          <m:t>e</m:t>
        </m:r>
        <m:r>
          <m:t>t</m:t>
        </m:r>
        <m:r>
          <m:t>l</m:t>
        </m:r>
        <m:r>
          <m:t>o</m:t>
        </m:r>
        <m:r>
          <m:t>s</m:t>
        </m:r>
        <m:r>
          <m:t>s</m:t>
        </m:r>
        <m:r>
          <m:rPr>
            <m:sty m:val="p"/>
          </m:rPr>
          <m:t>*</m:t>
        </m:r>
        <m:r>
          <m:rPr>
            <m:sty m:val="p"/>
          </m:rPr>
          <m:t>*</m:t>
        </m:r>
        <m:r>
          <m:t>a</m:t>
        </m:r>
        <m:r>
          <m:t>n</m:t>
        </m:r>
        <m:r>
          <m:t>d</m:t>
        </m:r>
        <m:r>
          <m:rPr>
            <m:sty m:val="p"/>
          </m:rPr>
          <m:t>*</m:t>
        </m:r>
        <m:r>
          <m:rPr>
            <m:sty m:val="p"/>
          </m:rPr>
          <m:t>*</m:t>
        </m:r>
      </m:oMath>
      <w:r>
        <w:rPr>
          <w:b/>
          <w:bCs/>
        </w:rPr>
        <w:t xml:space="preserve">(0.52)</w:t>
      </w:r>
      <w:r>
        <w:t xml:space="preserve"> </w:t>
      </w:r>
      <w:r>
        <w:t xml:space="preserve">GAAP diluted EPS, driven by $852 million in restructuring and other charges, driven by the organizational change we executed in February, and accrued legal contingencies, tied to the ~40%+ workforce reduction. Investors should watch whether elevated one-time charges persist into Q2 or whether GAAP profitability starts reconverging with the adjusted metrics.</w:t>
      </w:r>
    </w:p>
    <w:p>
      <w:pPr>
        <w:pStyle w:val="BodyText"/>
      </w:pPr>
      <w:r>
        <w:rPr>
          <w:b/>
          <w:bCs/>
        </w:rPr>
        <w:t xml:space="preserve">G. Bitcoin Ecosystem drag.</w:t>
      </w:r>
      <w:r>
        <w:t xml:space="preserve"> </w:t>
      </w:r>
      <w:r>
        <w:t xml:space="preserve">Bitcoin has weakened materially this summer — trading near **</w:t>
      </w:r>
      <m:oMath>
        <m:r>
          <m:t>63</m:t>
        </m:r>
        <m:r>
          <m:rPr>
            <m:sty m:val="p"/>
          </m:rPr>
          <m:t>,</m:t>
        </m:r>
        <m:r>
          <m:t>500</m:t>
        </m:r>
        <m:r>
          <m:rPr>
            <m:sty m:val="p"/>
          </m:rPr>
          <m:t>*</m:t>
        </m:r>
        <m:r>
          <m:rPr>
            <m:sty m:val="p"/>
          </m:rPr>
          <m:t>*</m:t>
        </m:r>
        <m:r>
          <m:t>a</m:t>
        </m:r>
        <m:r>
          <m:t>s</m:t>
        </m:r>
        <m:r>
          <m:t>o</m:t>
        </m:r>
        <m:r>
          <m:t>f</m:t>
        </m:r>
        <m:r>
          <m:t>e</m:t>
        </m:r>
        <m:r>
          <m:t>a</m:t>
        </m:r>
        <m:r>
          <m:t>r</m:t>
        </m:r>
        <m:r>
          <m:t>l</m:t>
        </m:r>
        <m:r>
          <m:t>y</m:t>
        </m:r>
        <m:r>
          <m:t>A</m:t>
        </m:r>
        <m:r>
          <m:t>u</m:t>
        </m:r>
        <m:r>
          <m:t>g</m:t>
        </m:r>
        <m:r>
          <m:t>u</m:t>
        </m:r>
        <m:r>
          <m:t>s</m:t>
        </m:r>
        <m:r>
          <m:t>t</m:t>
        </m:r>
        <m:r>
          <m:rPr>
            <m:sty m:val="p"/>
          </m:rPr>
          <m:t>,</m:t>
        </m:r>
        <m:r>
          <m:t>w</m:t>
        </m:r>
        <m:r>
          <m:t>e</m:t>
        </m:r>
        <m:r>
          <m:t>l</m:t>
        </m:r>
        <m:r>
          <m:t>l</m:t>
        </m:r>
        <m:r>
          <m:t>o</m:t>
        </m:r>
        <m:r>
          <m:t>f</m:t>
        </m:r>
        <m:r>
          <m:t>f</m:t>
        </m:r>
        <m:r>
          <m:t>e</m:t>
        </m:r>
        <m:r>
          <m:t>a</m:t>
        </m:r>
        <m:r>
          <m:t>r</m:t>
        </m:r>
        <m:r>
          <m:t>l</m:t>
        </m:r>
        <m:r>
          <m:t>i</m:t>
        </m:r>
        <m:r>
          <m:t>e</m:t>
        </m:r>
        <m:r>
          <m:t>r</m:t>
        </m:r>
        <m:r>
          <m:rPr>
            <m:sty m:val="p"/>
          </m:rPr>
          <m:t>−</m:t>
        </m:r>
        <m:r>
          <m:t>y</m:t>
        </m:r>
        <m:r>
          <m:t>e</m:t>
        </m:r>
        <m:r>
          <m:t>a</m:t>
        </m:r>
        <m:r>
          <m:t>r</m:t>
        </m:r>
        <m:r>
          <m:t>h</m:t>
        </m:r>
        <m:r>
          <m:t>i</m:t>
        </m:r>
        <m:r>
          <m:t>g</m:t>
        </m:r>
        <m:r>
          <m:t>h</m:t>
        </m:r>
        <m:r>
          <m:t>s</m:t>
        </m:r>
        <m:r>
          <m:rPr>
            <m:sty m:val="p"/>
          </m:rPr>
          <m:t>.</m:t>
        </m:r>
        <m:r>
          <m:t>T</m:t>
        </m:r>
        <m:r>
          <m:t>h</m:t>
        </m:r>
        <m:r>
          <m:t>i</m:t>
        </m:r>
        <m:r>
          <m:t>s</m:t>
        </m:r>
        <m:r>
          <m:t>m</m:t>
        </m:r>
        <m:r>
          <m:t>a</m:t>
        </m:r>
        <m:r>
          <m:t>t</m:t>
        </m:r>
        <m:r>
          <m:t>t</m:t>
        </m:r>
        <m:r>
          <m:t>e</m:t>
        </m:r>
        <m:r>
          <m:t>r</m:t>
        </m:r>
        <m:r>
          <m:t>s</m:t>
        </m:r>
        <m:r>
          <m:t>f</m:t>
        </m:r>
        <m:r>
          <m:t>o</m:t>
        </m:r>
        <m:r>
          <m:t>r</m:t>
        </m:r>
        <m:r>
          <m:t>B</m:t>
        </m:r>
        <m:r>
          <m:t>l</m:t>
        </m:r>
        <m:r>
          <m:t>o</m:t>
        </m:r>
        <m:r>
          <m:t>c</m:t>
        </m:r>
        <m:r>
          <m:t>k</m:t>
        </m:r>
        <m:r>
          <m:t>i</m:t>
        </m:r>
        <m:r>
          <m:t>n</m:t>
        </m:r>
        <m:r>
          <m:t>t</m:t>
        </m:r>
        <m:r>
          <m:t>w</m:t>
        </m:r>
        <m:r>
          <m:t>o</m:t>
        </m:r>
        <m:r>
          <m:t>w</m:t>
        </m:r>
        <m:r>
          <m:t>a</m:t>
        </m:r>
        <m:r>
          <m:t>y</m:t>
        </m:r>
        <m:r>
          <m:t>s</m:t>
        </m:r>
        <m:r>
          <m:rPr>
            <m:sty m:val="p"/>
          </m:rPr>
          <m:t>:</m:t>
        </m:r>
        <m:r>
          <m:rPr>
            <m:sty m:val="p"/>
          </m:rPr>
          <m:t>(</m:t>
        </m:r>
        <m:r>
          <m:t>1</m:t>
        </m:r>
        <m:r>
          <m:rPr>
            <m:sty m:val="p"/>
          </m:rPr>
          <m:t>)</m:t>
        </m:r>
        <m:r>
          <m:t>B</m:t>
        </m:r>
        <m:r>
          <m:t>i</m:t>
        </m:r>
        <m:r>
          <m:t>t</m:t>
        </m:r>
        <m:r>
          <m:t>c</m:t>
        </m:r>
        <m:r>
          <m:t>o</m:t>
        </m:r>
        <m:r>
          <m:t>i</m:t>
        </m:r>
        <m:r>
          <m:t>n</m:t>
        </m:r>
        <m:r>
          <m:t>E</m:t>
        </m:r>
        <m:r>
          <m:t>c</m:t>
        </m:r>
        <m:r>
          <m:t>o</m:t>
        </m:r>
        <m:r>
          <m:t>s</m:t>
        </m:r>
        <m:r>
          <m:t>y</m:t>
        </m:r>
        <m:r>
          <m:t>s</m:t>
        </m:r>
        <m:r>
          <m:t>t</m:t>
        </m:r>
        <m:r>
          <m:t>e</m:t>
        </m:r>
        <m:r>
          <m:t>m</m:t>
        </m:r>
        <m:r>
          <m:t>r</m:t>
        </m:r>
        <m:r>
          <m:t>e</m:t>
        </m:r>
        <m:r>
          <m:t>v</m:t>
        </m:r>
        <m:r>
          <m:t>e</m:t>
        </m:r>
        <m:r>
          <m:t>n</m:t>
        </m:r>
        <m:r>
          <m:t>u</m:t>
        </m:r>
        <m:r>
          <m:t>e</m:t>
        </m:r>
        <m:r>
          <m:rPr>
            <m:sty m:val="p"/>
          </m:rPr>
          <m:t>/</m:t>
        </m:r>
        <m:r>
          <m:t>g</m:t>
        </m:r>
        <m:r>
          <m:t>r</m:t>
        </m:r>
        <m:r>
          <m:t>o</m:t>
        </m:r>
        <m:r>
          <m:t>s</m:t>
        </m:r>
        <m:r>
          <m:t>s</m:t>
        </m:r>
        <m:r>
          <m:t>p</m:t>
        </m:r>
        <m:r>
          <m:t>r</m:t>
        </m:r>
        <m:r>
          <m:t>o</m:t>
        </m:r>
        <m:r>
          <m:t>f</m:t>
        </m:r>
        <m:r>
          <m:t>i</m:t>
        </m:r>
        <m:r>
          <m:t>t</m:t>
        </m:r>
        <m:r>
          <m:rPr>
            <m:sty m:val="p"/>
          </m:rPr>
          <m:t>(</m:t>
        </m:r>
        <m:r>
          <m:t>C</m:t>
        </m:r>
        <m:r>
          <m:t>a</m:t>
        </m:r>
        <m:r>
          <m:t>s</m:t>
        </m:r>
        <m:r>
          <m:t>h</m:t>
        </m:r>
        <m:r>
          <m:t>A</m:t>
        </m:r>
        <m:r>
          <m:t>p</m:t>
        </m:r>
        <m:r>
          <m:t>p</m:t>
        </m:r>
        <m:r>
          <m:t>b</m:t>
        </m:r>
        <m:r>
          <m:t>i</m:t>
        </m:r>
        <m:r>
          <m:t>t</m:t>
        </m:r>
        <m:r>
          <m:t>c</m:t>
        </m:r>
        <m:r>
          <m:t>o</m:t>
        </m:r>
        <m:r>
          <m:t>i</m:t>
        </m:r>
        <m:r>
          <m:t>n</m:t>
        </m:r>
        <m:r>
          <m:t>t</m:t>
        </m:r>
        <m:r>
          <m:t>r</m:t>
        </m:r>
        <m:r>
          <m:t>a</m:t>
        </m:r>
        <m:r>
          <m:t>d</m:t>
        </m:r>
        <m:r>
          <m:t>i</m:t>
        </m:r>
        <m:r>
          <m:t>n</m:t>
        </m:r>
        <m:r>
          <m:t>g</m:t>
        </m:r>
        <m:r>
          <m:rPr>
            <m:sty m:val="p"/>
          </m:rPr>
          <m:t>)</m:t>
        </m:r>
        <m:r>
          <m:t>a</m:t>
        </m:r>
        <m:r>
          <m:t>l</m:t>
        </m:r>
        <m:r>
          <m:t>r</m:t>
        </m:r>
        <m:r>
          <m:t>e</m:t>
        </m:r>
        <m:r>
          <m:t>a</m:t>
        </m:r>
        <m:r>
          <m:t>d</m:t>
        </m:r>
        <m:r>
          <m:t>y</m:t>
        </m:r>
        <m:r>
          <m:t>d</m:t>
        </m:r>
        <m:r>
          <m:t>e</m:t>
        </m:r>
        <m:r>
          <m:t>c</m:t>
        </m:r>
        <m:r>
          <m:t>l</m:t>
        </m:r>
        <m:r>
          <m:t>i</m:t>
        </m:r>
        <m:r>
          <m:t>n</m:t>
        </m:r>
        <m:r>
          <m:t>e</m:t>
        </m:r>
        <m:r>
          <m:t>d</m:t>
        </m:r>
        <m:r>
          <m:t>26</m:t>
        </m:r>
      </m:oMath>
      <w:r>
        <w:t xml:space="preserve">617 million at Q1-end) subject to non-cash remeasurement gains/losses that swing GAAP EPS — a $173 million remeasurement loss hit Q1 GAAP results.</w:t>
      </w:r>
    </w:p>
    <w:p>
      <w:pPr>
        <w:pStyle w:val="BodyText"/>
      </w:pPr>
      <w:r>
        <w:rPr>
          <w:b/>
          <w:bCs/>
        </w:rPr>
        <w:t xml:space="preserve">H. Interest expense/tax rate.</w:t>
      </w:r>
      <w:r>
        <w:t xml:space="preserve"> </w:t>
      </w:r>
      <w:r>
        <w:t xml:space="preserve">Management guided to Q2 interest expense of $55 million to $60 million and full year interest expense of approximately $200 million to $210 million, plus a continued mid-20% non-GAAP effective tax rate — useful for reconciling EPS estimates.</w:t>
      </w:r>
    </w:p>
    <w:bookmarkEnd w:id="11"/>
    <w:bookmarkStart w:id="12" w:name="Xab29ffe096a27992220e7b339aa0ab6fc261a0e"/>
    <w:p>
      <w:pPr>
        <w:pStyle w:val="Heading2"/>
      </w:pPr>
      <w:r>
        <w:t xml:space="preserve">4. Consensus Snapshot</w:t>
      </w:r>
    </w:p>
    <w:p>
      <w:pPr>
        <w:pStyle w:val="Compact"/>
        <w:numPr>
          <w:ilvl w:val="0"/>
          <w:numId w:val="1001"/>
        </w:numPr>
      </w:pPr>
      <w:r>
        <w:rPr>
          <w:b/>
          <w:bCs/>
        </w:rPr>
        <w:t xml:space="preserve">Adjusted EPS:</w:t>
      </w:r>
      <w:r>
        <w:t xml:space="preserve"> </w:t>
      </w:r>
      <w:r>
        <w:t xml:space="preserve">~</w:t>
      </w:r>
      <m:oMath>
        <m:r>
          <m:t>0.86</m:t>
        </m:r>
        <m:r>
          <m:rPr>
            <m:sty m:val="p"/>
          </m:rPr>
          <m:t>–</m:t>
        </m:r>
      </m:oMath>
      <w:r>
        <w:t xml:space="preserve">0.87 consensus, roughly in line with management's own $0.86 guide (+39% y/y)</w:t>
      </w:r>
    </w:p>
    <w:p>
      <w:pPr>
        <w:pStyle w:val="Compact"/>
        <w:numPr>
          <w:ilvl w:val="0"/>
          <w:numId w:val="1001"/>
        </w:numPr>
      </w:pPr>
      <w:r>
        <w:rPr>
          <w:b/>
          <w:bCs/>
        </w:rPr>
        <w:t xml:space="preserve">Gross profit:</w:t>
      </w:r>
      <w:r>
        <w:t xml:space="preserve"> </w:t>
      </w:r>
      <w:r>
        <w:t xml:space="preserve">~$3.04B guide (+20% y/y)</w:t>
      </w:r>
    </w:p>
    <w:p>
      <w:pPr>
        <w:pStyle w:val="Compact"/>
        <w:numPr>
          <w:ilvl w:val="0"/>
          <w:numId w:val="1001"/>
        </w:numPr>
      </w:pPr>
      <w:r>
        <w:rPr>
          <w:b/>
          <w:bCs/>
        </w:rPr>
        <w:t xml:space="preserve">Adjusted Operating Income:</w:t>
      </w:r>
      <w:r>
        <w:t xml:space="preserve"> </w:t>
      </w:r>
      <w:r>
        <w:t xml:space="preserve">~$740M guide (+35% y/y, ~24% margin)</w:t>
      </w:r>
    </w:p>
    <w:p>
      <w:pPr>
        <w:pStyle w:val="Compact"/>
        <w:numPr>
          <w:ilvl w:val="0"/>
          <w:numId w:val="1001"/>
        </w:numPr>
      </w:pPr>
      <w:r>
        <w:t xml:space="preserve">Estimate dispersion exists across data providers (some show GAAP EPS estimates far lower, reflecting the restructuring/legal-charge noise embedded in GAAP figures versus adjusted metrics) — investors should confirm which EPS metric (GAAP vs. adjusted) any specific estimate reflects.</w:t>
      </w:r>
    </w:p>
    <w:bookmarkEnd w:id="12"/>
    <w:bookmarkStart w:id="13" w:name="X624a9fc7c4ecf05fa4958b161f0f14fbe41bb27"/>
    <w:p>
      <w:pPr>
        <w:pStyle w:val="Heading2"/>
      </w:pPr>
      <w:r>
        <w:t xml:space="preserve">5. Bigger Picture / Bull vs. Bear Framing</w:t>
      </w:r>
    </w:p>
    <w:p>
      <w:pPr>
        <w:pStyle w:val="FirstParagraph"/>
      </w:pPr>
      <w:r>
        <w:rPr>
          <w:b/>
          <w:bCs/>
        </w:rPr>
        <w:t xml:space="preserve">Bull case:</w:t>
      </w:r>
      <w:r>
        <w:t xml:space="preserve"> </w:t>
      </w:r>
      <w:r>
        <w:t xml:space="preserve">Accelerating GPV and gross-profit growth, record adjusted margins, an AI-driven cost/productivity story (management cited production code changes per engineer are up over 2.5x compared to January and incident rates down sharply), diversified new distribution (ISO partnerships, field sales, Neighborhoods), and a credible path to the mid-teens gross profit growth rate exit velocity management has reiterated since November's Investor Day.</w:t>
      </w:r>
    </w:p>
    <w:p>
      <w:pPr>
        <w:pStyle w:val="BodyText"/>
      </w:pPr>
      <w:r>
        <w:rPr>
          <w:b/>
          <w:bCs/>
        </w:rPr>
        <w:t xml:space="preserve">Bear case:</w:t>
      </w:r>
      <w:r>
        <w:t xml:space="preserve"> </w:t>
      </w:r>
      <w:r>
        <w:t xml:space="preserve">Deceleration in the hyper-growth Borrow lending engine, potential seasonal softness in banking actives, still-elevated restructuring/legal noise clouding GAAP results, competitive intensity in payments/commerce, and a weaker bitcoin backdrop pressuring both the Bitcoin Ecosystem P&amp;L line and non-cash EPS optics. After a ~19%+ run this year and a break to new highs, the stock is also priced for continued execution — any hint of a "back-half guidance walk-down" (as flagged by analysts) could trigger an outsized negative reaction.</w:t>
      </w:r>
    </w:p>
    <w:bookmarkEnd w:id="13"/>
    <w:bookmarkStart w:id="14" w:name="X49e34d9056703e0521ab3ce2e920b2c4ba97a36"/>
    <w:p>
      <w:pPr>
        <w:pStyle w:val="Heading2"/>
      </w:pPr>
      <w:r>
        <w:t xml:space="preserve">6. Bottom Line</w:t>
      </w:r>
    </w:p>
    <w:p>
      <w:pPr>
        <w:pStyle w:val="FirstParagraph"/>
      </w:pPr>
      <w:r>
        <w:t xml:space="preserve">Heading into the print, XYZ carries momentum, raised full-year guidance already in hand, and a well-defined Q2 target ($3.04B gross profit, $740M adjusted operating income, $0.86 adjusted EPS). The market's focus tonight will likely center less on whether Block "beats" the headline numbers — it has done so consistently — and more on</w:t>
      </w:r>
      <w:r>
        <w:t xml:space="preserve"> </w:t>
      </w:r>
      <w:r>
        <w:rPr>
          <w:b/>
          <w:bCs/>
        </w:rPr>
        <w:t xml:space="preserve">margin durability, Borrow's deceleration path, Square's GPV/gross-profit convergence, and forward commentary on the back half of 2026</w:t>
      </w:r>
      <w:r>
        <w:t xml:space="preserve">, given the stock's already-elevated valuation and the high bar set by its own recent breakout.</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2026-08-05T01:17:07Z</dcterms:created>
  <dcterms:modified xsi:type="dcterms:W3CDTF">2026-08-05T01:17:07Z</dcterms:modified>
</cp:coreProperties>
</file>

<file path=docProps/custom.xml><?xml version="1.0" encoding="utf-8"?>
<Properties xmlns="http://schemas.openxmlformats.org/officeDocument/2006/custom-properties" xmlns:vt="http://schemas.openxmlformats.org/officeDocument/2006/docPropsVTypes"/>
</file>