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xyz-earnings-predictions--2026-08-05"/>
    <w:p>
      <w:pPr>
        <w:pStyle w:val="Heading1"/>
      </w:pPr>
      <w:r>
        <w:t xml:space="preserve">XYZ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XYZ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gross profit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~$3.10B vs. cons $3.05B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XYZ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operating income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~$775M vs. cons $750M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XYZ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~$0.90 vs. cons $0.86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XYZ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Gross profit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~$12.45B vs. cons $12.40B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XYZ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operating income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~$3.45B vs. cons $3.40B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XYZ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diluted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~$4.00 vs. cons $3.90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XYZ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+6.0%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XYZ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+7.5% (FOLLOW-THROUGH)</w:t>
            </w:r>
          </w:p>
        </w:tc>
        <w:tc>
          <w:tcPr/>
          <w:p>
            <w:pPr>
              <w:pStyle w:val="Compact"/>
            </w:pPr>
            <w:r>
              <w:t xml:space="preserve">The modeled FY2026 EPS raise of ~</w:t>
            </w:r>
            <m:oMath>
              <m:r>
                <m:t>0.10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e</m:t>
              </m:r>
              <m:r>
                <m:t>x</m:t>
              </m:r>
              <m:r>
                <m:t>c</m:t>
              </m:r>
              <m:r>
                <m:t>e</m:t>
              </m:r>
              <m:r>
                <m:t>e</m:t>
              </m:r>
              <m:r>
                <m:t>d</m:t>
              </m:r>
              <m:r>
                <m:t>s</m:t>
              </m:r>
              <m:r>
                <m:t>t</m:t>
              </m:r>
              <m:r>
                <m:t>h</m:t>
              </m:r>
              <m:r>
                <m:t>e</m:t>
              </m:r>
              <m:r>
                <m:t>p</m:t>
              </m:r>
              <m:r>
                <m:t>r</m:t>
              </m:r>
              <m:r>
                <m:t>e</m:t>
              </m:r>
              <m:r>
                <m:t>d</m:t>
              </m:r>
              <m:r>
                <m:t>i</m:t>
              </m:r>
              <m:r>
                <m:t>c</m:t>
              </m:r>
              <m:r>
                <m:t>t</m:t>
              </m:r>
              <m:r>
                <m:t>e</m:t>
              </m:r>
              <m:r>
                <m:t>d</m:t>
              </m:r>
              <m:r>
                <m:t>Q</m:t>
              </m:r>
              <m:r>
                <m:t>2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0.04, implying roughly ~$0.06 of positive out-period revisions; modest second-half gross-profit and operating-income increases should support follow-through rather than a post-beat fade.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2026-08-05T01:13:07Z</dcterms:created>
  <dcterms:modified xsi:type="dcterms:W3CDTF">2026-08-05T01:13:07Z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