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block-nyse-xyz-q2-2026-earnings-preview"/>
    <w:p>
      <w:pPr>
        <w:pStyle w:val="Heading1"/>
      </w:pPr>
      <w:r>
        <w:t xml:space="preserve">Block (NYSE: XYZ) Q2 2026 Earnings Preview</w:t>
      </w:r>
    </w:p>
    <w:p>
      <w:pPr>
        <w:pStyle w:val="BlockText"/>
      </w:pPr>
      <w:r>
        <w:rPr>
          <w:b/>
          <w:bCs/>
        </w:rPr>
        <w:t xml:space="preserve">Timing clarification:</w:t>
      </w:r>
      <w:r>
        <w:t xml:space="preserve"> </w:t>
      </w:r>
      <w:r>
        <w:t xml:space="preserve">Block is scheduled to report</w:t>
      </w:r>
      <w:r>
        <w:t xml:space="preserve"> </w:t>
      </w:r>
      <w:r>
        <w:rPr>
          <w:b/>
          <w:bCs/>
        </w:rPr>
        <w:t xml:space="preserve">today, Wednesday, August 5, 2026</w:t>
      </w:r>
      <w:r>
        <w:t xml:space="preserve">, after the market closes—not tomorrow. The earnings call begins at</w:t>
      </w:r>
      <w:r>
        <w:t xml:space="preserve"> </w:t>
      </w:r>
      <w:r>
        <w:rPr>
          <w:b/>
          <w:bCs/>
        </w:rPr>
        <w:t xml:space="preserve">5:00 p.m. Eastern / 2:00 p.m. Pacific</w:t>
      </w:r>
      <w:r>
        <w:t xml:space="preserve">.</w:t>
      </w:r>
    </w:p>
    <w:bookmarkStart w:id="9" w:name="investment-setup"/>
    <w:p>
      <w:pPr>
        <w:pStyle w:val="Heading2"/>
      </w:pPr>
      <w:r>
        <w:t xml:space="preserve">Investment setup</w:t>
      </w:r>
    </w:p>
    <w:p>
      <w:pPr>
        <w:pStyle w:val="FirstParagraph"/>
      </w:pPr>
      <w:r>
        <w:t xml:space="preserve">Block enters Q2 with strong operating momentum, a materially leaner cost structure, and elevated expectations. Q1 gross profit accelerated to 27% growth, adjusted operating margin reached a record 25%, and management raised its full-year outlook. Cash App lending and commerce products are doing most of the incremental work, while Square’s payment-volume growth has improved enough that investors are looking for gross-profit growth to follow.</w:t>
      </w:r>
    </w:p>
    <w:p>
      <w:pPr>
        <w:pStyle w:val="BodyText"/>
      </w:pPr>
      <w:r>
        <w:t xml:space="preserve">The principal question is therefore not whether Q2 was solid. It is whether Block can demonstrate that:</w:t>
      </w:r>
    </w:p>
    <w:p>
      <w:pPr>
        <w:pStyle w:val="Compact"/>
        <w:numPr>
          <w:ilvl w:val="0"/>
          <w:numId w:val="1001"/>
        </w:numPr>
      </w:pPr>
      <w:r>
        <w:t xml:space="preserve">Cash App’s rapid growth is durable as Borrow comparisons become harder.</w:t>
      </w:r>
    </w:p>
    <w:p>
      <w:pPr>
        <w:pStyle w:val="Compact"/>
        <w:numPr>
          <w:ilvl w:val="0"/>
          <w:numId w:val="1001"/>
        </w:numPr>
      </w:pPr>
      <w:r>
        <w:t xml:space="preserve">Lending can scale without deterioration in credit performance or excessive balance-sheet consumption.</w:t>
      </w:r>
    </w:p>
    <w:p>
      <w:pPr>
        <w:pStyle w:val="Compact"/>
        <w:numPr>
          <w:ilvl w:val="0"/>
          <w:numId w:val="1001"/>
        </w:numPr>
      </w:pPr>
      <w:r>
        <w:t xml:space="preserve">Square is progressing toward sustained double-digit gross-profit growth.</w:t>
      </w:r>
    </w:p>
    <w:p>
      <w:pPr>
        <w:pStyle w:val="Compact"/>
        <w:numPr>
          <w:ilvl w:val="0"/>
          <w:numId w:val="1001"/>
        </w:numPr>
      </w:pPr>
      <w:r>
        <w:t xml:space="preserve">The February workforce reduction is producing structural margin gains without impairing execution.</w:t>
      </w:r>
    </w:p>
    <w:p>
      <w:pPr>
        <w:pStyle w:val="Compact"/>
        <w:numPr>
          <w:ilvl w:val="0"/>
          <w:numId w:val="1001"/>
        </w:numPr>
      </w:pPr>
      <w:r>
        <w:t xml:space="preserve">Management has enough second-half visibility to raise—or at least confidently reaffirm—2026 guidance.</w:t>
      </w:r>
    </w:p>
    <w:p>
      <w:pPr>
        <w:pStyle w:val="FirstParagraph"/>
      </w:pPr>
      <w:r>
        <w:t xml:space="preserve">Expectations are no longer low. XYZ closed at</w:t>
      </w:r>
      <w:r>
        <w:t xml:space="preserve"> </w:t>
      </w:r>
      <w:r>
        <w:rPr>
          <w:b/>
          <w:bCs/>
        </w:rPr>
        <w:t xml:space="preserve">$84.66 on August 4</w:t>
      </w:r>
      <w:r>
        <w:t xml:space="preserve">, roughly 30% above its January 2 close and 21% above the closing price on its Q1 reporting date. At approximately 22 times management’s current 2026 adjusted EPS target, a routine “meet and maintain” quarter may not be enough to drive another sharp rerating.</w:t>
      </w:r>
    </w:p>
    <w:bookmarkEnd w:id="9"/>
    <w:bookmarkStart w:id="10" w:name="the-financial-hurdle"/>
    <w:p>
      <w:pPr>
        <w:pStyle w:val="Heading2"/>
      </w:pPr>
      <w:r>
        <w:t xml:space="preserve">The financial hurdle</w:t>
      </w:r>
    </w:p>
    <w:p>
      <w:pPr>
        <w:pStyle w:val="FirstParagraph"/>
      </w:pPr>
      <w:r>
        <w:t xml:space="preserve">Management provided the following Q2 outlook in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Year-over-year change</w:t>
            </w:r>
          </w:p>
        </w:tc>
      </w:tr>
      <w:tr>
        <w:tc>
          <w:tcPr/>
          <w:p>
            <w:pPr>
              <w:pStyle w:val="Compact"/>
            </w:pPr>
            <w:r>
              <w:t xml:space="preserve">Gross profit</w:t>
            </w:r>
          </w:p>
        </w:tc>
        <w:tc>
          <w:tcPr/>
          <w:p>
            <w:pPr>
              <w:pStyle w:val="Compact"/>
              <w:jc w:val="right"/>
            </w:pPr>
            <w:r>
              <w:rPr>
                <w:b/>
                <w:bCs/>
              </w:rPr>
              <w:t xml:space="preserve">$3.04 billion</w:t>
            </w:r>
          </w:p>
        </w:tc>
        <w:tc>
          <w:tcPr/>
          <w:p>
            <w:pPr>
              <w:pStyle w:val="Compact"/>
              <w:jc w:val="right"/>
            </w:pPr>
            <w:r>
              <w:rPr>
                <w:b/>
                <w:bCs/>
              </w:rPr>
              <w:t xml:space="preserve">+20%</w:t>
            </w:r>
          </w:p>
        </w:tc>
      </w:tr>
      <w:tr>
        <w:tc>
          <w:tcPr/>
          <w:p>
            <w:pPr>
              <w:pStyle w:val="Compact"/>
            </w:pPr>
            <w:r>
              <w:t xml:space="preserve">Adjusted operating income</w:t>
            </w:r>
          </w:p>
        </w:tc>
        <w:tc>
          <w:tcPr/>
          <w:p>
            <w:pPr>
              <w:pStyle w:val="Compact"/>
              <w:jc w:val="right"/>
            </w:pPr>
            <w:r>
              <w:rPr>
                <w:b/>
                <w:bCs/>
              </w:rPr>
              <w:t xml:space="preserve">$740 million</w:t>
            </w:r>
          </w:p>
        </w:tc>
        <w:tc>
          <w:tcPr/>
          <w:p>
            <w:pPr>
              <w:pStyle w:val="Compact"/>
              <w:jc w:val="right"/>
            </w:pPr>
            <w:r>
              <w:rPr>
                <w:b/>
                <w:bCs/>
              </w:rPr>
              <w:t xml:space="preserve">+35%</w:t>
            </w:r>
          </w:p>
        </w:tc>
      </w:tr>
      <w:tr>
        <w:tc>
          <w:tcPr/>
          <w:p>
            <w:pPr>
              <w:pStyle w:val="Compact"/>
            </w:pPr>
            <w:r>
              <w:t xml:space="preserve">Adjusted operating margin</w:t>
            </w:r>
          </w:p>
        </w:tc>
        <w:tc>
          <w:tcPr/>
          <w:p>
            <w:pPr>
              <w:pStyle w:val="Compact"/>
              <w:jc w:val="right"/>
            </w:pPr>
            <w:r>
              <w:rPr>
                <w:b/>
                <w:bCs/>
              </w:rPr>
              <w:t xml:space="preserve">24%</w:t>
            </w:r>
          </w:p>
        </w:tc>
        <w:tc>
          <w:tcPr/>
          <w:p>
            <w:pPr>
              <w:pStyle w:val="Compact"/>
              <w:jc w:val="right"/>
            </w:pPr>
            <w:r>
              <w:t xml:space="preserve">+2 percentage points</w:t>
            </w:r>
          </w:p>
        </w:tc>
      </w:tr>
      <w:tr>
        <w:tc>
          <w:tcPr/>
          <w:p>
            <w:pPr>
              <w:pStyle w:val="Compact"/>
            </w:pPr>
            <w:r>
              <w:t xml:space="preserve">Adjusted diluted EPS</w:t>
            </w:r>
          </w:p>
        </w:tc>
        <w:tc>
          <w:tcPr/>
          <w:p>
            <w:pPr>
              <w:pStyle w:val="Compact"/>
              <w:jc w:val="right"/>
            </w:pPr>
            <w:r>
              <w:rPr>
                <w:b/>
                <w:bCs/>
              </w:rPr>
              <w:t xml:space="preserve">$0.86</w:t>
            </w:r>
          </w:p>
        </w:tc>
        <w:tc>
          <w:tcPr/>
          <w:p>
            <w:pPr>
              <w:pStyle w:val="Compact"/>
              <w:jc w:val="right"/>
            </w:pPr>
            <w:r>
              <w:rPr>
                <w:b/>
                <w:bCs/>
              </w:rPr>
              <w:t xml:space="preserve">+39%</w:t>
            </w:r>
          </w:p>
        </w:tc>
      </w:tr>
    </w:tbl>
    <w:p>
      <w:pPr>
        <w:pStyle w:val="BodyText"/>
      </w:pPr>
      <w:r>
        <w:t xml:space="preserve">The current full-year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Gross profit</w:t>
            </w:r>
          </w:p>
        </w:tc>
        <w:tc>
          <w:tcPr/>
          <w:p>
            <w:pPr>
              <w:pStyle w:val="Compact"/>
              <w:jc w:val="right"/>
            </w:pPr>
            <w:r>
              <w:rPr>
                <w:b/>
                <w:bCs/>
              </w:rPr>
              <w:t xml:space="preserve">$12.33 billion</w:t>
            </w:r>
            <w:r>
              <w:t xml:space="preserve">, +19%</w:t>
            </w:r>
          </w:p>
        </w:tc>
      </w:tr>
      <w:tr>
        <w:tc>
          <w:tcPr/>
          <w:p>
            <w:pPr>
              <w:pStyle w:val="Compact"/>
            </w:pPr>
            <w:r>
              <w:t xml:space="preserve">Adjusted operating income</w:t>
            </w:r>
          </w:p>
        </w:tc>
        <w:tc>
          <w:tcPr/>
          <w:p>
            <w:pPr>
              <w:pStyle w:val="Compact"/>
              <w:jc w:val="right"/>
            </w:pPr>
            <w:r>
              <w:rPr>
                <w:b/>
                <w:bCs/>
              </w:rPr>
              <w:t xml:space="preserve">$3.34 billion</w:t>
            </w:r>
            <w:r>
              <w:t xml:space="preserve">, 27% margin</w:t>
            </w:r>
          </w:p>
        </w:tc>
      </w:tr>
      <w:tr>
        <w:tc>
          <w:tcPr/>
          <w:p>
            <w:pPr>
              <w:pStyle w:val="Compact"/>
            </w:pPr>
            <w:r>
              <w:t xml:space="preserve">Adjusted diluted EPS</w:t>
            </w:r>
          </w:p>
        </w:tc>
        <w:tc>
          <w:tcPr/>
          <w:p>
            <w:pPr>
              <w:pStyle w:val="Compact"/>
              <w:jc w:val="right"/>
            </w:pPr>
            <w:r>
              <w:rPr>
                <w:b/>
                <w:bCs/>
              </w:rPr>
              <w:t xml:space="preserve">$3.85</w:t>
            </w:r>
            <w:r>
              <w:t xml:space="preserve">, +62%</w:t>
            </w:r>
          </w:p>
        </w:tc>
      </w:tr>
    </w:tbl>
    <w:p>
      <w:pPr>
        <w:pStyle w:val="BodyText"/>
      </w:pPr>
      <w:r>
        <w:t xml:space="preserve">Assuming Q2 lands exactly at guidance, the full-year outlook implies approximately</w:t>
      </w:r>
      <w:r>
        <w:t xml:space="preserve"> </w:t>
      </w:r>
      <m:oMath>
        <m:r>
          <m:t>6.38</m:t>
        </m:r>
        <m:r>
          <m:t>b</m:t>
        </m:r>
        <m:r>
          <m:t>i</m:t>
        </m:r>
        <m:r>
          <m:t>l</m:t>
        </m:r>
        <m:r>
          <m:t>l</m:t>
        </m:r>
        <m:r>
          <m:t>i</m:t>
        </m:r>
        <m:r>
          <m:t>o</m:t>
        </m:r>
        <m:r>
          <m:t>n</m:t>
        </m:r>
        <m:r>
          <m:t>o</m:t>
        </m:r>
        <m:r>
          <m:t>f</m:t>
        </m:r>
        <m:r>
          <m:t>s</m:t>
        </m:r>
        <m:r>
          <m:t>e</m:t>
        </m:r>
        <m:r>
          <m:t>c</m:t>
        </m:r>
        <m:r>
          <m:t>o</m:t>
        </m:r>
        <m:r>
          <m:t>n</m:t>
        </m:r>
        <m:r>
          <m:t>d</m:t>
        </m:r>
        <m:r>
          <m:rPr>
            <m:sty m:val="p"/>
          </m:rPr>
          <m:t>−</m:t>
        </m:r>
        <m:r>
          <m:t>h</m:t>
        </m:r>
        <m:r>
          <m:t>a</m:t>
        </m:r>
        <m:r>
          <m:t>l</m:t>
        </m:r>
        <m:r>
          <m:t>f</m:t>
        </m:r>
        <m:r>
          <m:t>g</m:t>
        </m:r>
        <m:r>
          <m:t>r</m:t>
        </m:r>
        <m:r>
          <m:t>o</m:t>
        </m:r>
        <m:r>
          <m:t>s</m:t>
        </m:r>
        <m:r>
          <m:t>s</m:t>
        </m:r>
        <m:r>
          <m:t>p</m:t>
        </m:r>
        <m:r>
          <m:t>r</m:t>
        </m:r>
        <m:r>
          <m:t>o</m:t>
        </m:r>
        <m:r>
          <m:t>f</m:t>
        </m:r>
        <m:r>
          <m:t>i</m:t>
        </m:r>
        <m:r>
          <m:t>t</m:t>
        </m:r>
        <m:r>
          <m:rPr>
            <m:sty m:val="p"/>
          </m:rPr>
          <m:t>*</m:t>
        </m:r>
        <m:r>
          <m:rPr>
            <m:sty m:val="p"/>
          </m:rPr>
          <m:t>*</m:t>
        </m:r>
        <m:r>
          <m:rPr>
            <m:sty m:val="p"/>
          </m:rPr>
          <m:t>,</m:t>
        </m:r>
        <m:r>
          <m:t>o</m:t>
        </m:r>
        <m:r>
          <m:t>r</m:t>
        </m:r>
        <m:r>
          <m:t>a</m:t>
        </m:r>
        <m:r>
          <m:t>b</m:t>
        </m:r>
        <m:r>
          <m:t>o</m:t>
        </m:r>
        <m:r>
          <m:t>u</m:t>
        </m:r>
        <m:r>
          <m:t>t</m:t>
        </m:r>
        <m:r>
          <m:t>15</m:t>
        </m:r>
      </m:oMath>
      <w:r>
        <w:rPr>
          <w:b/>
          <w:bCs/>
        </w:rPr>
        <w:t xml:space="preserve">1.87 billion of adjusted operating income</w:t>
      </w:r>
      <w:r>
        <w:t xml:space="preserve">, equivalent to roughly a</w:t>
      </w:r>
      <w:r>
        <w:t xml:space="preserve"> </w:t>
      </w:r>
      <w:r>
        <w:rPr>
          <w:b/>
          <w:bCs/>
        </w:rPr>
        <w:t xml:space="preserve">29% second-half margin</w:t>
      </w:r>
      <w:r>
        <w:t xml:space="preserve">.</w:t>
      </w:r>
    </w:p>
    <w:p>
      <w:pPr>
        <w:pStyle w:val="BodyText"/>
      </w:pPr>
      <w:r>
        <w:t xml:space="preserve">That makes the outlook more important than a modest Q2 beat. Investors will want evidence that Block can maintain mid-teens growth while margins step materially higher in Q3 and Q4.</w:t>
      </w:r>
    </w:p>
    <w:bookmarkEnd w:id="10"/>
    <w:bookmarkStart w:id="17" w:name="what-matters-most"/>
    <w:p>
      <w:pPr>
        <w:pStyle w:val="Heading2"/>
      </w:pPr>
      <w:r>
        <w:t xml:space="preserve">What matters most</w:t>
      </w:r>
    </w:p>
    <w:bookmarkStart w:id="11" w:name="X7898d50cac73088cb26f86b2b84e9d09f6b9f51"/>
    <w:p>
      <w:pPr>
        <w:pStyle w:val="Heading3"/>
      </w:pPr>
      <w:r>
        <w:t xml:space="preserve">1. Cash App: exceptional growth, but tougher comparisons ahead</w:t>
      </w:r>
    </w:p>
    <w:p>
      <w:pPr>
        <w:pStyle w:val="FirstParagraph"/>
      </w:pPr>
      <w:r>
        <w:t xml:space="preserve">Cash App produced</w:t>
      </w:r>
      <w:r>
        <w:t xml:space="preserve"> </w:t>
      </w:r>
      <w:r>
        <w:rPr>
          <w:b/>
          <w:bCs/>
        </w:rPr>
        <w:t xml:space="preserve">$1.91 billion of Q1 gross profit</w:t>
      </w:r>
      <w:r>
        <w:t xml:space="preserve">, up 38%, supported by:</w:t>
      </w:r>
    </w:p>
    <w:p>
      <w:pPr>
        <w:pStyle w:val="Compact"/>
        <w:numPr>
          <w:ilvl w:val="0"/>
          <w:numId w:val="1002"/>
        </w:numPr>
      </w:pPr>
      <w:r>
        <w:t xml:space="preserve">Commerce Enablement volume growth of 18%.</w:t>
      </w:r>
    </w:p>
    <w:p>
      <w:pPr>
        <w:pStyle w:val="Compact"/>
        <w:numPr>
          <w:ilvl w:val="0"/>
          <w:numId w:val="1002"/>
        </w:numPr>
      </w:pPr>
      <w:r>
        <w:t xml:space="preserve">Consumer lending originations of $17.6 billion, up 82%.</w:t>
      </w:r>
    </w:p>
    <w:p>
      <w:pPr>
        <w:pStyle w:val="Compact"/>
        <w:numPr>
          <w:ilvl w:val="0"/>
          <w:numId w:val="1002"/>
        </w:numPr>
      </w:pPr>
      <w:r>
        <w:t xml:space="preserve">Cash App Borrow originations up 175%.</w:t>
      </w:r>
    </w:p>
    <w:p>
      <w:pPr>
        <w:pStyle w:val="Compact"/>
        <w:numPr>
          <w:ilvl w:val="0"/>
          <w:numId w:val="1002"/>
        </w:numPr>
      </w:pPr>
      <w:r>
        <w:t xml:space="preserve">Primary Banking Actives, or PBAs, of 9.7 million, up 18%.</w:t>
      </w:r>
    </w:p>
    <w:p>
      <w:pPr>
        <w:pStyle w:val="Compact"/>
        <w:numPr>
          <w:ilvl w:val="0"/>
          <w:numId w:val="1002"/>
        </w:numPr>
      </w:pPr>
      <w:r>
        <w:t xml:space="preserve">Financial Solutions gross profit per active up 60%.</w:t>
      </w:r>
    </w:p>
    <w:p>
      <w:pPr>
        <w:pStyle w:val="Compact"/>
        <w:numPr>
          <w:ilvl w:val="0"/>
          <w:numId w:val="1002"/>
        </w:numPr>
      </w:pPr>
      <w:r>
        <w:t xml:space="preserve">Inflows per transacting active up 10%.</w:t>
      </w:r>
    </w:p>
    <w:p>
      <w:pPr>
        <w:pStyle w:val="FirstParagraph"/>
      </w:pPr>
      <w:r>
        <w:t xml:space="preserve">This is the central earnings driver, but Q1’s growth rate is unlikely to be the proper run rate. Management has explicitly said Borrow growth should normalize as Block laps last year’s expansion.</w:t>
      </w:r>
    </w:p>
    <w:p>
      <w:pPr>
        <w:pStyle w:val="BodyText"/>
      </w:pPr>
      <w:r>
        <w:t xml:space="preserve">The healthiest Q2 outcome would combine continued strong Cash App gross-profit growth with broader drivers: Cash App Card, Afterpay Post-Purchase and Pre-Purchase, Cash App Green, and improved customer engagement. A quarter overly dependent on further Borrow expansion would be less reassuring.</w:t>
      </w:r>
    </w:p>
    <w:p>
      <w:pPr>
        <w:pStyle w:val="BodyText"/>
      </w:pPr>
      <w:r>
        <w:rPr>
          <w:b/>
          <w:bCs/>
        </w:rPr>
        <w:t xml:space="preserve">Key indicators:</w:t>
      </w:r>
    </w:p>
    <w:p>
      <w:pPr>
        <w:pStyle w:val="Compact"/>
        <w:numPr>
          <w:ilvl w:val="0"/>
          <w:numId w:val="1003"/>
        </w:numPr>
      </w:pPr>
      <w:r>
        <w:t xml:space="preserve">Monthly transacting actives versus 59 million in March.</w:t>
      </w:r>
    </w:p>
    <w:p>
      <w:pPr>
        <w:pStyle w:val="Compact"/>
        <w:numPr>
          <w:ilvl w:val="0"/>
          <w:numId w:val="1003"/>
        </w:numPr>
      </w:pPr>
      <w:r>
        <w:t xml:space="preserve">PBAs, for which management guided to a normal seasonal sequential decline.</w:t>
      </w:r>
    </w:p>
    <w:p>
      <w:pPr>
        <w:pStyle w:val="Compact"/>
        <w:numPr>
          <w:ilvl w:val="0"/>
          <w:numId w:val="1003"/>
        </w:numPr>
      </w:pPr>
      <w:r>
        <w:t xml:space="preserve">Inflows and inflows per active.</w:t>
      </w:r>
    </w:p>
    <w:p>
      <w:pPr>
        <w:pStyle w:val="Compact"/>
        <w:numPr>
          <w:ilvl w:val="0"/>
          <w:numId w:val="1003"/>
        </w:numPr>
      </w:pPr>
      <w:r>
        <w:t xml:space="preserve">Commerce Enablement volume and monetization.</w:t>
      </w:r>
    </w:p>
    <w:p>
      <w:pPr>
        <w:pStyle w:val="Compact"/>
        <w:numPr>
          <w:ilvl w:val="0"/>
          <w:numId w:val="1003"/>
        </w:numPr>
      </w:pPr>
      <w:r>
        <w:t xml:space="preserve">Borrow and total consumer-lending originations.</w:t>
      </w:r>
    </w:p>
    <w:p>
      <w:pPr>
        <w:pStyle w:val="Compact"/>
        <w:numPr>
          <w:ilvl w:val="0"/>
          <w:numId w:val="1003"/>
        </w:numPr>
      </w:pPr>
      <w:r>
        <w:t xml:space="preserve">Adoption of Afterpay products embedded in Cash App.</w:t>
      </w:r>
    </w:p>
    <w:p>
      <w:pPr>
        <w:pStyle w:val="Compact"/>
        <w:numPr>
          <w:ilvl w:val="0"/>
          <w:numId w:val="1003"/>
        </w:numPr>
      </w:pPr>
      <w:r>
        <w:t xml:space="preserve">Early engagement with Cash App Score, Moneybot, and managed accounts for children.</w:t>
      </w:r>
    </w:p>
    <w:p>
      <w:pPr>
        <w:pStyle w:val="FirstParagraph"/>
      </w:pPr>
      <w:r>
        <w:t xml:space="preserve">Low-single-digit active growth would be acceptable if engagement and monetization remain strong. Weak actives accompanied by slowing inflows would be more problematic.</w:t>
      </w:r>
    </w:p>
    <w:bookmarkEnd w:id="11"/>
    <w:bookmarkStart w:id="12" w:name="Xef332a52dcfcb028d17ade6070707beec791d69"/>
    <w:p>
      <w:pPr>
        <w:pStyle w:val="Heading3"/>
      </w:pPr>
      <w:r>
        <w:t xml:space="preserve">2. Lending economics are the largest swing factor</w:t>
      </w:r>
    </w:p>
    <w:p>
      <w:pPr>
        <w:pStyle w:val="FirstParagraph"/>
      </w:pPr>
      <w:r>
        <w:t xml:space="preserve">Block’s lending expansion is currently both its strongest growth engine and its most important risk.</w:t>
      </w:r>
    </w:p>
    <w:p>
      <w:pPr>
        <w:pStyle w:val="BodyText"/>
      </w:pPr>
      <w:r>
        <w:t xml:space="preserve">Q1 transaction, loan, and consumer-receivable losses increased 195% to approximately $500 million. Much of that reflected substantially higher originations and the upfront recognition of expected losses on loans retained on Block’s balance sheet—not a reported deterioration in cohort performance. Management disclosed Cash App Borrow loss rates of:</w:t>
      </w:r>
    </w:p>
    <w:p>
      <w:pPr>
        <w:pStyle w:val="Compact"/>
        <w:numPr>
          <w:ilvl w:val="0"/>
          <w:numId w:val="1004"/>
        </w:numPr>
      </w:pPr>
      <w:r>
        <w:rPr>
          <w:b/>
          <w:bCs/>
        </w:rPr>
        <w:t xml:space="preserve">3.16%</w:t>
      </w:r>
      <w:r>
        <w:t xml:space="preserve"> </w:t>
      </w:r>
      <w:r>
        <w:t xml:space="preserve">for customers in their first six months.</w:t>
      </w:r>
    </w:p>
    <w:p>
      <w:pPr>
        <w:pStyle w:val="Compact"/>
        <w:numPr>
          <w:ilvl w:val="0"/>
          <w:numId w:val="1004"/>
        </w:numPr>
      </w:pPr>
      <w:r>
        <w:rPr>
          <w:b/>
          <w:bCs/>
        </w:rPr>
        <w:t xml:space="preserve">3.01%</w:t>
      </w:r>
      <w:r>
        <w:t xml:space="preserve"> </w:t>
      </w:r>
      <w:r>
        <w:t xml:space="preserve">for seven- to twelve-month customers.</w:t>
      </w:r>
    </w:p>
    <w:p>
      <w:pPr>
        <w:pStyle w:val="Compact"/>
        <w:numPr>
          <w:ilvl w:val="0"/>
          <w:numId w:val="1004"/>
        </w:numPr>
      </w:pPr>
      <w:r>
        <w:rPr>
          <w:b/>
          <w:bCs/>
        </w:rPr>
        <w:t xml:space="preserve">2.67%</w:t>
      </w:r>
      <w:r>
        <w:t xml:space="preserve"> </w:t>
      </w:r>
      <w:r>
        <w:t xml:space="preserve">for customers with more than thirteen months of history.</w:t>
      </w:r>
    </w:p>
    <w:p>
      <w:pPr>
        <w:pStyle w:val="FirstParagraph"/>
      </w:pPr>
      <w:r>
        <w:t xml:space="preserve">Management expects loss-expense growth to moderate through the remainder of 2026. Q2 should begin to validate that claim.</w:t>
      </w:r>
    </w:p>
    <w:p>
      <w:pPr>
        <w:pStyle w:val="BodyText"/>
      </w:pPr>
      <w:r>
        <w:t xml:space="preserve">Investors should distinguish between higher absolute provisions caused by growth and actual underwriting deterioration. Rising loss rates within comparable customer cohorts, weaker repayment behavior, or a substantial increase in capital deployed per dollar of gross profit would be bearish.</w:t>
      </w:r>
    </w:p>
    <w:p>
      <w:pPr>
        <w:pStyle w:val="BodyText"/>
      </w:pPr>
      <w:r>
        <w:t xml:space="preserve">Balance-sheet usage also deserves attention. Block had deployed approximately</w:t>
      </w:r>
      <w:r>
        <w:t xml:space="preserve"> </w:t>
      </w:r>
      <w:r>
        <w:rPr>
          <w:b/>
          <w:bCs/>
        </w:rPr>
        <w:t xml:space="preserve">$2.8 billion of capital into lending products over the trailing twelve months</w:t>
      </w:r>
      <w:r>
        <w:t xml:space="preserve"> </w:t>
      </w:r>
      <w:r>
        <w:t xml:space="preserve">as of March 31. Strong variable profit after credit and funding costs matters more than headline origination growth.</w:t>
      </w:r>
    </w:p>
    <w:bookmarkEnd w:id="12"/>
    <w:bookmarkStart w:id="13" w:name="Xad652bd5fd0450e3470937cf7258ff8e98cff6e"/>
    <w:p>
      <w:pPr>
        <w:pStyle w:val="Heading3"/>
      </w:pPr>
      <w:r>
        <w:t xml:space="preserve">3. Square needs to convert GPV momentum into gross profit</w:t>
      </w:r>
    </w:p>
    <w:p>
      <w:pPr>
        <w:pStyle w:val="FirstParagraph"/>
      </w:pPr>
      <w:r>
        <w:t xml:space="preserve">Square’s Q1 results were encouraging but still lagged Cash App:</w:t>
      </w:r>
    </w:p>
    <w:p>
      <w:pPr>
        <w:pStyle w:val="Compact"/>
        <w:numPr>
          <w:ilvl w:val="0"/>
          <w:numId w:val="1005"/>
        </w:numPr>
      </w:pPr>
      <w:r>
        <w:t xml:space="preserve">Gross profit rose 9% to $982 million.</w:t>
      </w:r>
    </w:p>
    <w:p>
      <w:pPr>
        <w:pStyle w:val="Compact"/>
        <w:numPr>
          <w:ilvl w:val="0"/>
          <w:numId w:val="1005"/>
        </w:numPr>
      </w:pPr>
      <w:r>
        <w:t xml:space="preserve">GPV increased 13% as reported and 11.5% in constant currency.</w:t>
      </w:r>
    </w:p>
    <w:p>
      <w:pPr>
        <w:pStyle w:val="Compact"/>
        <w:numPr>
          <w:ilvl w:val="0"/>
          <w:numId w:val="1005"/>
        </w:numPr>
      </w:pPr>
      <w:r>
        <w:t xml:space="preserve">U.S. GPV grew 8.2%.</w:t>
      </w:r>
    </w:p>
    <w:p>
      <w:pPr>
        <w:pStyle w:val="Compact"/>
        <w:numPr>
          <w:ilvl w:val="0"/>
          <w:numId w:val="1005"/>
        </w:numPr>
      </w:pPr>
      <w:r>
        <w:t xml:space="preserve">International GPV grew 26% in constant currency.</w:t>
      </w:r>
    </w:p>
    <w:p>
      <w:pPr>
        <w:pStyle w:val="Compact"/>
        <w:numPr>
          <w:ilvl w:val="0"/>
          <w:numId w:val="1005"/>
        </w:numPr>
      </w:pPr>
      <w:r>
        <w:t xml:space="preserve">Food-and-beverage and mid-market GPV each grew more than 20%.</w:t>
      </w:r>
    </w:p>
    <w:p>
      <w:pPr>
        <w:pStyle w:val="FirstParagraph"/>
      </w:pPr>
      <w:r>
        <w:t xml:space="preserve">April trends remained healthy, with constant-currency GPV up 12%, including 9% U.S. growth and 25% international growth.</w:t>
      </w:r>
    </w:p>
    <w:p>
      <w:pPr>
        <w:pStyle w:val="BodyText"/>
      </w:pPr>
      <w:r>
        <w:t xml:space="preserve">For Q2, management said the gap between GPV growth and gross-profit growth should narrow. The comparison is complicated by two temporary items:</w:t>
      </w:r>
    </w:p>
    <w:p>
      <w:pPr>
        <w:pStyle w:val="Compact"/>
        <w:numPr>
          <w:ilvl w:val="0"/>
          <w:numId w:val="1006"/>
        </w:numPr>
      </w:pPr>
      <w:r>
        <w:t xml:space="preserve">Block is lapping a network-remediation payment received in Q2 2025.</w:t>
      </w:r>
    </w:p>
    <w:p>
      <w:pPr>
        <w:pStyle w:val="Compact"/>
        <w:numPr>
          <w:ilvl w:val="0"/>
          <w:numId w:val="1006"/>
        </w:numPr>
      </w:pPr>
      <w:r>
        <w:t xml:space="preserve">A one-time tariff refund related to Square hardware should benefit Q2 2026.</w:t>
      </w:r>
    </w:p>
    <w:p>
      <w:pPr>
        <w:pStyle w:val="FirstParagraph"/>
      </w:pPr>
      <w:r>
        <w:t xml:space="preserve">Investors should therefore focus on underlying Square growth excluding these items. The best proof points would be sustained new-volume-added growth, continued mid-market wins, stronger monetization, and evidence that ISO partnerships and field sales are producing attractive returns.</w:t>
      </w:r>
    </w:p>
    <w:p>
      <w:pPr>
        <w:pStyle w:val="BodyText"/>
      </w:pPr>
      <w:r>
        <w:t xml:space="preserve">Management’s expectation that Square gross profit will grow approximately in line with GPV in the second half remains an important test.</w:t>
      </w:r>
    </w:p>
    <w:bookmarkEnd w:id="13"/>
    <w:bookmarkStart w:id="14" w:name="Xb0f94623b55ca06280bbea94c6f45912f6db00f"/>
    <w:p>
      <w:pPr>
        <w:pStyle w:val="Heading3"/>
      </w:pPr>
      <w:r>
        <w:t xml:space="preserve">4. Cost structure and margin durability</w:t>
      </w:r>
    </w:p>
    <w:p>
      <w:pPr>
        <w:pStyle w:val="FirstParagraph"/>
      </w:pPr>
      <w:r>
        <w:t xml:space="preserve">Block reduced its workforce by more than 40% in February and expects</w:t>
      </w:r>
      <w:r>
        <w:t xml:space="preserve"> </w:t>
      </w:r>
      <w:r>
        <w:rPr>
          <w:b/>
          <w:bCs/>
        </w:rPr>
        <w:t xml:space="preserve">$800 million to $900 million of annualized net cost savings</w:t>
      </w:r>
      <w:r>
        <w:t xml:space="preserve">, with a portion reinvested in growth. Q1 adjusted operating income rose 56%, and adjusted operating margin expanded to 25%.</w:t>
      </w:r>
    </w:p>
    <w:p>
      <w:pPr>
        <w:pStyle w:val="BodyText"/>
      </w:pPr>
      <w:r>
        <w:t xml:space="preserve">Q2’s 24% margin guide already incorporates a meaningful increase in go-to-market spending, so an operating-income beat would provide evidence that the new cost base has more leverage than initially expected.</w:t>
      </w:r>
    </w:p>
    <w:p>
      <w:pPr>
        <w:pStyle w:val="BodyText"/>
      </w:pPr>
      <w:r>
        <w:t xml:space="preserve">Points to watch include:</w:t>
      </w:r>
    </w:p>
    <w:p>
      <w:pPr>
        <w:pStyle w:val="Compact"/>
        <w:numPr>
          <w:ilvl w:val="0"/>
          <w:numId w:val="1007"/>
        </w:numPr>
      </w:pPr>
      <w:r>
        <w:t xml:space="preserve">Headcount and non-GAAP product-development expense.</w:t>
      </w:r>
    </w:p>
    <w:p>
      <w:pPr>
        <w:pStyle w:val="Compact"/>
        <w:numPr>
          <w:ilvl w:val="0"/>
          <w:numId w:val="1007"/>
        </w:numPr>
      </w:pPr>
      <w:r>
        <w:t xml:space="preserve">Sales and marketing investment versus resulting customer acquisition.</w:t>
      </w:r>
    </w:p>
    <w:p>
      <w:pPr>
        <w:pStyle w:val="Compact"/>
        <w:numPr>
          <w:ilvl w:val="0"/>
          <w:numId w:val="1007"/>
        </w:numPr>
      </w:pPr>
      <w:r>
        <w:t xml:space="preserve">Cloud and AI infrastructure costs.</w:t>
      </w:r>
    </w:p>
    <w:p>
      <w:pPr>
        <w:pStyle w:val="Compact"/>
        <w:numPr>
          <w:ilvl w:val="0"/>
          <w:numId w:val="1007"/>
        </w:numPr>
      </w:pPr>
      <w:r>
        <w:t xml:space="preserve">Any further restructuring charges.</w:t>
      </w:r>
    </w:p>
    <w:p>
      <w:pPr>
        <w:pStyle w:val="Compact"/>
        <w:numPr>
          <w:ilvl w:val="0"/>
          <w:numId w:val="1007"/>
        </w:numPr>
      </w:pPr>
      <w:r>
        <w:t xml:space="preserve">Product reliability and incident rates after the reorganization.</w:t>
      </w:r>
    </w:p>
    <w:p>
      <w:pPr>
        <w:pStyle w:val="Compact"/>
        <w:numPr>
          <w:ilvl w:val="0"/>
          <w:numId w:val="1007"/>
        </w:numPr>
      </w:pPr>
      <w:r>
        <w:t xml:space="preserve">The pace of share-based compensation.</w:t>
      </w:r>
    </w:p>
    <w:p>
      <w:pPr>
        <w:pStyle w:val="FirstParagraph"/>
      </w:pPr>
      <w:r>
        <w:t xml:space="preserve">GAAP results may remain noisy. Q1 included approximately $852 million of restructuring, litigation and related charges, contributing to a $172 million GAAP operating loss despite record adjusted profitability. Management expected only immaterial additional workforce-plan charges after Q1, substantially completed by the end of Q2. A cleaner GAAP result would improve earnings quality.</w:t>
      </w:r>
    </w:p>
    <w:bookmarkEnd w:id="14"/>
    <w:bookmarkStart w:id="15" w:name="Xd82b070ce4f5c8d8514c4ff1e07ad0589e10a0c"/>
    <w:p>
      <w:pPr>
        <w:pStyle w:val="Heading3"/>
      </w:pPr>
      <w:r>
        <w:t xml:space="preserve">5. AI needs to move from narrative to measurable economics</w:t>
      </w:r>
    </w:p>
    <w:p>
      <w:pPr>
        <w:pStyle w:val="FirstParagraph"/>
      </w:pPr>
      <w:r>
        <w:t xml:space="preserve">Block has made AI central to both its operating model and product strategy. Internally, management said production code changes per engineer had increased more than 2.5 times from January to April. Externally:</w:t>
      </w:r>
    </w:p>
    <w:p>
      <w:pPr>
        <w:pStyle w:val="Compact"/>
        <w:numPr>
          <w:ilvl w:val="0"/>
          <w:numId w:val="1008"/>
        </w:numPr>
      </w:pPr>
      <w:r>
        <w:t xml:space="preserve">Moneybot is broadly available in Cash App.</w:t>
      </w:r>
    </w:p>
    <w:p>
      <w:pPr>
        <w:pStyle w:val="Compact"/>
        <w:numPr>
          <w:ilvl w:val="0"/>
          <w:numId w:val="1008"/>
        </w:numPr>
      </w:pPr>
      <w:r>
        <w:t xml:space="preserve">Managerbot was expected to reach general U.S. availability for Square sellers in June.</w:t>
      </w:r>
    </w:p>
    <w:p>
      <w:pPr>
        <w:pStyle w:val="Compact"/>
        <w:numPr>
          <w:ilvl w:val="0"/>
          <w:numId w:val="1008"/>
        </w:numPr>
      </w:pPr>
      <w:r>
        <w:t xml:space="preserve">Early Moneybot adoption surpassed one million users.</w:t>
      </w:r>
    </w:p>
    <w:p>
      <w:pPr>
        <w:pStyle w:val="Compact"/>
        <w:numPr>
          <w:ilvl w:val="0"/>
          <w:numId w:val="1008"/>
        </w:numPr>
      </w:pPr>
      <w:r>
        <w:t xml:space="preserve">Management has reported stronger repeat engagement when the products prompt or execute an action instead of merely answering questions.</w:t>
      </w:r>
    </w:p>
    <w:p>
      <w:pPr>
        <w:pStyle w:val="FirstParagraph"/>
      </w:pPr>
      <w:r>
        <w:t xml:space="preserve">The market will now want updated adoption, retention and monetization data. Useful disclosure would include whether these products improve cross-sell, seller retention, inflows, product attachment or customer-acquisition efficiency.</w:t>
      </w:r>
    </w:p>
    <w:p>
      <w:pPr>
        <w:pStyle w:val="BodyText"/>
      </w:pPr>
      <w:r>
        <w:t xml:space="preserve">Further developer-productivity statistics alone are unlikely to have the same impact as evidence that AI is producing measurable revenue or customer-retention benefits.</w:t>
      </w:r>
    </w:p>
    <w:bookmarkEnd w:id="15"/>
    <w:bookmarkStart w:id="16" w:name="X931c782607d7c44a841057aeea7607fad923ffa"/>
    <w:p>
      <w:pPr>
        <w:pStyle w:val="Heading3"/>
      </w:pPr>
      <w:r>
        <w:t xml:space="preserve">6. Neighborhoods could become an important network-growth proof point</w:t>
      </w:r>
    </w:p>
    <w:p>
      <w:pPr>
        <w:pStyle w:val="FirstParagraph"/>
      </w:pPr>
      <w:r>
        <w:t xml:space="preserve">Neighborhoods connects Square sellers with Cash App consumers through loyalty, discovery and rewards. At the end of March, participating sellers represented approximately $320 million in annualized GPV, while more than 100,000 Cash App accounts followed at least one seller.</w:t>
      </w:r>
    </w:p>
    <w:p>
      <w:pPr>
        <w:pStyle w:val="BodyText"/>
      </w:pPr>
      <w:r>
        <w:t xml:space="preserve">Management expected Neighborhoods to begin making a meaningful contribution to Cash App active growth in the second half. Investors should look for:</w:t>
      </w:r>
    </w:p>
    <w:p>
      <w:pPr>
        <w:pStyle w:val="Compact"/>
        <w:numPr>
          <w:ilvl w:val="0"/>
          <w:numId w:val="1009"/>
        </w:numPr>
      </w:pPr>
      <w:r>
        <w:t xml:space="preserve">Seller and follower growth.</w:t>
      </w:r>
    </w:p>
    <w:p>
      <w:pPr>
        <w:pStyle w:val="Compact"/>
        <w:numPr>
          <w:ilvl w:val="0"/>
          <w:numId w:val="1009"/>
        </w:numPr>
      </w:pPr>
      <w:r>
        <w:t xml:space="preserve">Annualized GPV represented on the platform.</w:t>
      </w:r>
    </w:p>
    <w:p>
      <w:pPr>
        <w:pStyle w:val="Compact"/>
        <w:numPr>
          <w:ilvl w:val="0"/>
          <w:numId w:val="1009"/>
        </w:numPr>
      </w:pPr>
      <w:r>
        <w:t xml:space="preserve">Spending and transaction-frequency uplift among followers.</w:t>
      </w:r>
    </w:p>
    <w:p>
      <w:pPr>
        <w:pStyle w:val="Compact"/>
        <w:numPr>
          <w:ilvl w:val="0"/>
          <w:numId w:val="1009"/>
        </w:numPr>
      </w:pPr>
      <w:r>
        <w:t xml:space="preserve">Broader hardware availability.</w:t>
      </w:r>
    </w:p>
    <w:p>
      <w:pPr>
        <w:pStyle w:val="Compact"/>
        <w:numPr>
          <w:ilvl w:val="0"/>
          <w:numId w:val="1009"/>
        </w:numPr>
      </w:pPr>
      <w:r>
        <w:t xml:space="preserve">Evidence of better retention for Square sellers.</w:t>
      </w:r>
    </w:p>
    <w:p>
      <w:pPr>
        <w:pStyle w:val="Compact"/>
        <w:numPr>
          <w:ilvl w:val="0"/>
          <w:numId w:val="1009"/>
        </w:numPr>
      </w:pPr>
      <w:r>
        <w:t xml:space="preserve">A measurable contribution to Cash App customer acquisition.</w:t>
      </w:r>
    </w:p>
    <w:p>
      <w:pPr>
        <w:pStyle w:val="FirstParagraph"/>
      </w:pPr>
      <w:r>
        <w:t xml:space="preserve">The program remains small relative to Block, but successful scaling would support the strategic argument that owning both sides of commerce creates a differentiated network.</w:t>
      </w:r>
    </w:p>
    <w:bookmarkEnd w:id="16"/>
    <w:bookmarkEnd w:id="17"/>
    <w:bookmarkStart w:id="18" w:name="capital-allocation"/>
    <w:p>
      <w:pPr>
        <w:pStyle w:val="Heading2"/>
      </w:pPr>
      <w:r>
        <w:t xml:space="preserve">Capital allocation</w:t>
      </w:r>
    </w:p>
    <w:p>
      <w:pPr>
        <w:pStyle w:val="FirstParagraph"/>
      </w:pPr>
      <w:r>
        <w:t xml:space="preserve">Block repurchased</w:t>
      </w:r>
      <w:r>
        <w:t xml:space="preserve"> </w:t>
      </w:r>
      <m:oMath>
        <m:r>
          <m:t>636</m:t>
        </m:r>
        <m:r>
          <m:t>m</m:t>
        </m:r>
        <m:r>
          <m:t>i</m:t>
        </m:r>
        <m:r>
          <m:t>l</m:t>
        </m:r>
        <m:r>
          <m:t>l</m:t>
        </m:r>
        <m:r>
          <m:t>i</m:t>
        </m:r>
        <m:r>
          <m:t>o</m:t>
        </m:r>
        <m:r>
          <m:t>n</m:t>
        </m:r>
        <m:r>
          <m:t>o</m:t>
        </m:r>
        <m:r>
          <m:t>f</m:t>
        </m:r>
        <m:r>
          <m:t>s</m:t>
        </m:r>
        <m:r>
          <m:t>t</m:t>
        </m:r>
        <m:r>
          <m:t>o</m:t>
        </m:r>
        <m:r>
          <m:t>c</m:t>
        </m:r>
        <m:r>
          <m:t>k</m:t>
        </m:r>
        <m:r>
          <m:t>i</m:t>
        </m:r>
        <m:r>
          <m:t>n</m:t>
        </m:r>
        <m:r>
          <m:t>Q</m:t>
        </m:r>
        <m:r>
          <m:t>1</m:t>
        </m:r>
        <m:r>
          <m:rPr>
            <m:sty m:val="p"/>
          </m:rPr>
          <m:t>*</m:t>
        </m:r>
        <m:r>
          <m:rPr>
            <m:sty m:val="p"/>
          </m:rPr>
          <m:t>*</m:t>
        </m:r>
        <m:r>
          <m:t>a</m:t>
        </m:r>
        <m:r>
          <m:t>n</m:t>
        </m:r>
        <m:r>
          <m:t>d</m:t>
        </m:r>
        <m:r>
          <m:t>h</m:t>
        </m:r>
        <m:r>
          <m:t>a</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4.7 billion of remaining authorization</w:t>
      </w:r>
      <w:r>
        <w:t xml:space="preserve"> </w:t>
      </w:r>
      <w:r>
        <w:t xml:space="preserve">at quarter-end. Adjusted diluted shares fell to approximately 604 million from 635 million a year earlier, materially assisting EPS growth.</w:t>
      </w:r>
    </w:p>
    <w:p>
      <w:pPr>
        <w:pStyle w:val="BodyText"/>
      </w:pPr>
      <w:r>
        <w:t xml:space="preserve">Continued repurchases would be constructive, particularly if management can fund lending growth, go-to-market investment and buybacks without weakening liquidity. However, investors should also monitor non-GAAP cash flow, which has been much less impressive than reported free cash flow after adjusting for the cash demands of lending.</w:t>
      </w:r>
    </w:p>
    <w:bookmarkEnd w:id="18"/>
    <w:bookmarkStart w:id="22" w:name="potential-reaction-framework"/>
    <w:p>
      <w:pPr>
        <w:pStyle w:val="Heading2"/>
      </w:pPr>
      <w:r>
        <w:t xml:space="preserve">Potential reaction framework</w:t>
      </w:r>
    </w:p>
    <w:bookmarkStart w:id="19" w:name="bull-case"/>
    <w:p>
      <w:pPr>
        <w:pStyle w:val="Heading3"/>
      </w:pPr>
      <w:r>
        <w:t xml:space="preserve">Bull case</w:t>
      </w:r>
    </w:p>
    <w:p>
      <w:pPr>
        <w:pStyle w:val="FirstParagraph"/>
      </w:pPr>
      <w:r>
        <w:t xml:space="preserve">A clearly positive report would likely include:</w:t>
      </w:r>
    </w:p>
    <w:p>
      <w:pPr>
        <w:pStyle w:val="Compact"/>
        <w:numPr>
          <w:ilvl w:val="0"/>
          <w:numId w:val="1010"/>
        </w:numPr>
      </w:pPr>
      <w:r>
        <w:t xml:space="preserve">Gross profit above $3.04 billion with balanced Cash App and Square strength.</w:t>
      </w:r>
    </w:p>
    <w:p>
      <w:pPr>
        <w:pStyle w:val="Compact"/>
        <w:numPr>
          <w:ilvl w:val="0"/>
          <w:numId w:val="1010"/>
        </w:numPr>
      </w:pPr>
      <w:r>
        <w:t xml:space="preserve">Adjusted operating income comfortably above $740 million.</w:t>
      </w:r>
    </w:p>
    <w:p>
      <w:pPr>
        <w:pStyle w:val="Compact"/>
        <w:numPr>
          <w:ilvl w:val="0"/>
          <w:numId w:val="1010"/>
        </w:numPr>
      </w:pPr>
      <w:r>
        <w:t xml:space="preserve">Stable or improving lending loss rates.</w:t>
      </w:r>
    </w:p>
    <w:p>
      <w:pPr>
        <w:pStyle w:val="Compact"/>
        <w:numPr>
          <w:ilvl w:val="0"/>
          <w:numId w:val="1010"/>
        </w:numPr>
      </w:pPr>
      <w:r>
        <w:t xml:space="preserve">Square underlying gross-profit growth approaching GPV growth.</w:t>
      </w:r>
    </w:p>
    <w:p>
      <w:pPr>
        <w:pStyle w:val="Compact"/>
        <w:numPr>
          <w:ilvl w:val="0"/>
          <w:numId w:val="1010"/>
        </w:numPr>
      </w:pPr>
      <w:r>
        <w:t xml:space="preserve">Strong early metrics for Moneybot, Managerbot or Neighborhoods.</w:t>
      </w:r>
    </w:p>
    <w:p>
      <w:pPr>
        <w:pStyle w:val="Compact"/>
        <w:numPr>
          <w:ilvl w:val="0"/>
          <w:numId w:val="1010"/>
        </w:numPr>
      </w:pPr>
      <w:r>
        <w:t xml:space="preserve">An increase to the $12.33 billion gross-profit and/or $3.85 EPS outlook.</w:t>
      </w:r>
    </w:p>
    <w:p>
      <w:pPr>
        <w:pStyle w:val="Compact"/>
        <w:numPr>
          <w:ilvl w:val="0"/>
          <w:numId w:val="1010"/>
        </w:numPr>
      </w:pPr>
      <w:r>
        <w:t xml:space="preserve">Continued aggressive share repurchases.</w:t>
      </w:r>
    </w:p>
    <w:bookmarkEnd w:id="19"/>
    <w:bookmarkStart w:id="20" w:name="base-case"/>
    <w:p>
      <w:pPr>
        <w:pStyle w:val="Heading3"/>
      </w:pPr>
      <w:r>
        <w:t xml:space="preserve">Base case</w:t>
      </w:r>
    </w:p>
    <w:p>
      <w:pPr>
        <w:pStyle w:val="FirstParagraph"/>
      </w:pPr>
      <w:r>
        <w:t xml:space="preserve">A roughly in-line quarter with reaffirmed full-year guidance would confirm solid execution, but the stock reaction could be muted after its recent appreciation. The quality of the outlook—especially second-half margins and Cash App normalization—would determine the direction.</w:t>
      </w:r>
    </w:p>
    <w:bookmarkEnd w:id="20"/>
    <w:bookmarkStart w:id="21" w:name="bear-case"/>
    <w:p>
      <w:pPr>
        <w:pStyle w:val="Heading3"/>
      </w:pPr>
      <w:r>
        <w:t xml:space="preserve">Bear case</w:t>
      </w:r>
    </w:p>
    <w:p>
      <w:pPr>
        <w:pStyle w:val="FirstParagraph"/>
      </w:pPr>
      <w:r>
        <w:t xml:space="preserve">The most concerning combination would be:</w:t>
      </w:r>
    </w:p>
    <w:p>
      <w:pPr>
        <w:pStyle w:val="Compact"/>
        <w:numPr>
          <w:ilvl w:val="0"/>
          <w:numId w:val="1011"/>
        </w:numPr>
      </w:pPr>
      <w:r>
        <w:t xml:space="preserve">Cash App growth decelerating faster than expected.</w:t>
      </w:r>
    </w:p>
    <w:p>
      <w:pPr>
        <w:pStyle w:val="Compact"/>
        <w:numPr>
          <w:ilvl w:val="0"/>
          <w:numId w:val="1011"/>
        </w:numPr>
      </w:pPr>
      <w:r>
        <w:t xml:space="preserve">Higher comparable-cohort credit losses.</w:t>
      </w:r>
    </w:p>
    <w:p>
      <w:pPr>
        <w:pStyle w:val="Compact"/>
        <w:numPr>
          <w:ilvl w:val="0"/>
          <w:numId w:val="1011"/>
        </w:numPr>
      </w:pPr>
      <w:r>
        <w:t xml:space="preserve">Weak or expensive active-user growth.</w:t>
      </w:r>
    </w:p>
    <w:p>
      <w:pPr>
        <w:pStyle w:val="Compact"/>
        <w:numPr>
          <w:ilvl w:val="0"/>
          <w:numId w:val="1011"/>
        </w:numPr>
      </w:pPr>
      <w:r>
        <w:t xml:space="preserve">Square gross profit continuing to trail GPV materially.</w:t>
      </w:r>
    </w:p>
    <w:p>
      <w:pPr>
        <w:pStyle w:val="Compact"/>
        <w:numPr>
          <w:ilvl w:val="0"/>
          <w:numId w:val="1011"/>
        </w:numPr>
      </w:pPr>
      <w:r>
        <w:t xml:space="preserve">Margin pressure despite the workforce reduction.</w:t>
      </w:r>
    </w:p>
    <w:p>
      <w:pPr>
        <w:pStyle w:val="Compact"/>
        <w:numPr>
          <w:ilvl w:val="0"/>
          <w:numId w:val="1011"/>
        </w:numPr>
      </w:pPr>
      <w:r>
        <w:t xml:space="preserve">No updated evidence that AI products are affecting business outcomes.</w:t>
      </w:r>
    </w:p>
    <w:p>
      <w:pPr>
        <w:pStyle w:val="Compact"/>
        <w:numPr>
          <w:ilvl w:val="0"/>
          <w:numId w:val="1011"/>
        </w:numPr>
      </w:pPr>
      <w:r>
        <w:t xml:space="preserve">A reduction in full-year guidance or caution around second-half growth.</w:t>
      </w:r>
    </w:p>
    <w:bookmarkEnd w:id="21"/>
    <w:bookmarkEnd w:id="22"/>
    <w:bookmarkStart w:id="23" w:name="bottom-line"/>
    <w:p>
      <w:pPr>
        <w:pStyle w:val="Heading2"/>
      </w:pPr>
      <w:r>
        <w:t xml:space="preserve">Bottom line</w:t>
      </w:r>
    </w:p>
    <w:p>
      <w:pPr>
        <w:pStyle w:val="FirstParagraph"/>
      </w:pPr>
      <w:r>
        <w:t xml:space="preserve">Block’s Q2 setup is favorable operationally but demanding from an expectations standpoint. Cash App has become a much more effective monetization platform, Square’s volume trends are improving, and the reorganization has created substantial operating leverage. Those strengths are now reflected in the stock and in management’s ambitious 2026 targets.</w:t>
      </w:r>
    </w:p>
    <w:p>
      <w:pPr>
        <w:pStyle w:val="BodyText"/>
      </w:pPr>
      <w:r>
        <w:t xml:space="preserve">The decisive issue will be</w:t>
      </w:r>
      <w:r>
        <w:t xml:space="preserve"> </w:t>
      </w:r>
      <w:r>
        <w:rPr>
          <w:b/>
          <w:bCs/>
        </w:rPr>
        <w:t xml:space="preserve">quality and durability</w:t>
      </w:r>
      <w:r>
        <w:t xml:space="preserve">, not simply whether Block beats Q2 guidance. A compelling report needs to show that lending growth remains disciplined, Square is converting GPV into gross profit, and the new cost structure can support both investment and expanding margins. A full-year guidance increase would be the clearest positive signal; absent that, investors will scrutinize management’s confidence in the implied step-up in second-half profitability.</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2026-08-05T01:13:07Z</dcterms:created>
  <dcterms:modified xsi:type="dcterms:W3CDTF">2026-08-05T01:13:07Z</dcterms:modified>
</cp:coreProperties>
</file>

<file path=docProps/custom.xml><?xml version="1.0" encoding="utf-8"?>
<Properties xmlns="http://schemas.openxmlformats.org/officeDocument/2006/custom-properties" xmlns:vt="http://schemas.openxmlformats.org/officeDocument/2006/docPropsVTypes"/>
</file>