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Block, Inc. (XYZ)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Block, Inc.</w:t>
            </w:r>
          </w:p>
        </w:tc>
      </w:tr>
      <w:tr>
        <w:tc>
          <w:tcPr>
            <w:tcW w:type="dxa" w:w="4320"/>
          </w:tcPr>
          <w:p>
            <w:r>
              <w:rPr>
                <w:rFonts w:ascii="Calibri" w:hAnsi="Calibri"/>
                <w:b/>
                <w:sz w:val="22"/>
              </w:rPr>
              <w:t>Ticker</w:t>
            </w:r>
          </w:p>
        </w:tc>
        <w:tc>
          <w:tcPr>
            <w:tcW w:type="dxa" w:w="4320"/>
          </w:tcPr>
          <w:p>
            <w:r>
              <w:rPr>
                <w:rFonts w:ascii="Calibri" w:hAnsi="Calibri"/>
                <w:sz w:val="22"/>
              </w:rPr>
              <w:t>XYZ</w:t>
            </w:r>
          </w:p>
        </w:tc>
      </w:tr>
      <w:tr>
        <w:tc>
          <w:tcPr>
            <w:tcW w:type="dxa" w:w="4320"/>
          </w:tcPr>
          <w:p>
            <w:r>
              <w:rPr>
                <w:rFonts w:ascii="Calibri" w:hAnsi="Calibri"/>
                <w:b/>
                <w:sz w:val="22"/>
              </w:rPr>
              <w:t>Upcoming Earnings Date</w:t>
            </w:r>
          </w:p>
        </w:tc>
        <w:tc>
          <w:tcPr>
            <w:tcW w:type="dxa" w:w="4320"/>
          </w:tcPr>
          <w:p>
            <w:r>
              <w:rPr>
                <w:rFonts w:ascii="Calibri" w:hAnsi="Calibri"/>
                <w:sz w:val="22"/>
              </w:rPr>
              <w:t>~August 7, 2026 (Q2 2026)</w:t>
            </w:r>
          </w:p>
        </w:tc>
      </w:tr>
      <w:tr>
        <w:tc>
          <w:tcPr>
            <w:tcW w:type="dxa" w:w="4320"/>
          </w:tcPr>
          <w:p>
            <w:r>
              <w:rPr>
                <w:rFonts w:ascii="Calibri" w:hAnsi="Calibri"/>
                <w:b/>
                <w:sz w:val="22"/>
              </w:rPr>
              <w:t>Last Reported Period</w:t>
            </w:r>
          </w:p>
        </w:tc>
        <w:tc>
          <w:tcPr>
            <w:tcW w:type="dxa" w:w="4320"/>
          </w:tcPr>
          <w:p>
            <w:r>
              <w:rPr>
                <w:rFonts w:ascii="Calibri" w:hAnsi="Calibri"/>
                <w:sz w:val="22"/>
              </w:rPr>
              <w:t>Q1 2026 (reported May 7,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IPAY (ETF — Digital Payments / Fintech)</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management guided explicitly to </w:t>
      </w:r>
      <w:r>
        <w:rPr>
          <w:rFonts w:ascii="Calibri" w:hAnsi="Calibri"/>
          <w:b/>
          <w:color w:val="525866"/>
          <w:sz w:val="22"/>
        </w:rPr>
        <w:t>$3.04B gross profit (+20% YoY) and $0.86 adj. diluted EPS (+39% YoY)</w:t>
      </w:r>
      <w:r>
        <w:rPr>
          <w:rFonts w:ascii="Calibri" w:hAnsi="Calibri"/>
          <w:color w:val="525866"/>
          <w:sz w:val="22"/>
        </w:rPr>
        <w:t>, and consensus is sitting essentially at guidance, leaving the bar achievable but not low; the biggest swing factor is whether Cash App gross profit growth can sustain its Q1 momentum even as Borrow normalizes.</w:t>
      </w:r>
    </w:p>
    <w:p>
      <w:r>
        <w:rPr>
          <w:rFonts w:ascii="Calibri" w:hAnsi="Calibri"/>
          <w:color w:val="525866"/>
          <w:sz w:val="22"/>
        </w:rPr>
        <w:t xml:space="preserve">Block enters Q2 2026 with one of the clearest guidance frameworks in fintech — management provided explicit gross profit, adjusted operating income, and EPS targets on the Q1 call, and consensus has converged tightly around those figures, leaving little room for a large upside surprise on the headline but also limiting downside risk. The bar is fair rather than stretched: </w:t>
      </w:r>
    </w:p>
    <w:p>
      <w:r>
        <w:rPr>
          <w:rFonts w:ascii="Calibri" w:hAnsi="Calibri"/>
          <w:b/>
          <w:color w:val="525866"/>
          <w:sz w:val="22"/>
        </w:rPr>
        <w:t xml:space="preserve">Bar: </w:t>
      </w:r>
      <w:r>
        <w:rPr>
          <w:rFonts w:ascii="Calibri" w:hAnsi="Calibri"/>
          <w:color w:val="525866"/>
          <w:sz w:val="22"/>
        </w:rPr>
        <w:t>Consensus gross profit of ~$3.06B sits just above the $3.04B guidance midpoint, implying the street is pricing in a modest beat — consistent with Block's recent track record of outperforming its own guidance. The more important question is whether Cash App gross profit growth (38% YoY in Q1) can hold above 20% even as Borrow originations lap exceptional prior-year comparisons.</w:t>
      </w:r>
    </w:p>
    <w:p>
      <w:r>
        <w:rPr>
          <w:rFonts w:ascii="Calibri" w:hAnsi="Calibri"/>
          <w:b/>
          <w:color w:val="525866"/>
          <w:sz w:val="22"/>
        </w:rPr>
        <w:t xml:space="preserve">Guidance/Tone: </w:t>
      </w:r>
      <w:r>
        <w:rPr>
          <w:rFonts w:ascii="Calibri" w:hAnsi="Calibri"/>
          <w:color w:val="525866"/>
          <w:sz w:val="22"/>
        </w:rPr>
        <w:t>Management's posture on the Q1 call was notably confident — they raised full-year gross profit guidance by 1 point to 19% growth, raised adj. operating income to $3.34B, and raised adj. EPS to $3.85 (+62% YoY), all above prior consensus. The tone was constructive on Square (April GPV +12% CC, U.S. +9%, international +25% CC) and cautious-but-transparent on Borrow normalization, which they explicitly flagged as a back-half headwind.</w:t>
      </w:r>
    </w:p>
    <w:p>
      <w:r>
        <w:rPr>
          <w:rFonts w:ascii="Calibri" w:hAnsi="Calibri"/>
          <w:b/>
          <w:color w:val="525866"/>
          <w:sz w:val="22"/>
        </w:rPr>
        <w:t xml:space="preserve">Estimate Trajectory: </w:t>
      </w:r>
      <w:r>
        <w:rPr>
          <w:rFonts w:ascii="Calibri" w:hAnsi="Calibri"/>
          <w:color w:val="525866"/>
          <w:sz w:val="22"/>
        </w:rPr>
        <w:t>Estimates moved up sharply after the Q1 print — Q2 gross profit consensus rose from ~$3.05B to ~$3.06B and FY2026 gross profit consensus moved to ~$12.38B, tracking management's raised guidance. The revision direction is positive and aligned with guidance, suggesting the gap represents cushion rather than risk, though the magnitude of upside is constrained by how precisely management guided.</w:t>
      </w:r>
    </w:p>
    <w:p>
      <w:r>
        <w:rPr>
          <w:rFonts w:ascii="Calibri" w:hAnsi="Calibri"/>
          <w:b/>
          <w:color w:val="525866"/>
          <w:sz w:val="22"/>
        </w:rPr>
        <w:t xml:space="preserve">Stock Setup: </w:t>
      </w:r>
      <w:r>
        <w:rPr>
          <w:rFonts w:ascii="Calibri" w:hAnsi="Calibri"/>
          <w:color w:val="525866"/>
          <w:sz w:val="22"/>
        </w:rPr>
        <w:t>XYZ has rallied ~21% since the Q1 earnings date (May 7) vs. IPAY ETF +10% and S&amp;P 500 +5%, suggesting the market has partially priced in continued execution. The stock still trades at a meaningful discount to historical averages and fintech peers on a forward P/E basis (low-to-mid teens), implying the multiple has room to expand if management delivers another beat-and-raise.</w:t>
      </w:r>
    </w:p>
    <w:p>
      <w:r>
        <w:rPr>
          <w:rFonts w:ascii="Calibri" w:hAnsi="Calibri"/>
          <w:b/>
          <w:color w:val="525866"/>
          <w:sz w:val="22"/>
        </w:rPr>
        <w:t xml:space="preserve">Wildcard: </w:t>
      </w:r>
      <w:r>
        <w:rPr>
          <w:rFonts w:ascii="Calibri" w:hAnsi="Calibri"/>
          <w:color w:val="525866"/>
          <w:sz w:val="22"/>
        </w:rPr>
        <w:t xml:space="preserve">The single biggest swing factor is the </w:t>
      </w:r>
      <w:r>
        <w:rPr>
          <w:rFonts w:ascii="Calibri" w:hAnsi="Calibri"/>
          <w:b/>
          <w:color w:val="525866"/>
          <w:sz w:val="22"/>
        </w:rPr>
        <w:t>Neighborhoods program's contribution to Cash App actives in Q2</w:t>
      </w:r>
      <w:r>
        <w:rPr>
          <w:rFonts w:ascii="Calibri" w:hAnsi="Calibri"/>
          <w:color w:val="525866"/>
          <w:sz w:val="22"/>
        </w:rPr>
        <w:t xml:space="preserve"> — management guided that Neighborhoods would "start meaningfully driving Cash App actives in the back half," and any early evidence of inflection (or lack thereof) in Q2 actives data could move the stock materially in either direction. A second wildcard is the pace of go-to-market investment step-up in Q2, which management flagged would pressure near-term margins before H2 expansion.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fair (not stretched) bar — estimates sit essentially at guidance for gross profit and EPS, with </w:t>
      </w:r>
    </w:p>
    <w:p>
      <w:r>
        <w:rPr>
          <w:rFonts w:ascii="Calibri" w:hAnsi="Calibri"/>
          <w:b/>
          <w:color w:val="525866"/>
          <w:sz w:val="22"/>
        </w:rPr>
        <w:t>Cash App gross profit growth trajectory</w:t>
      </w:r>
      <w:r>
        <w:rPr>
          <w:rFonts w:ascii="Calibri" w:hAnsi="Calibri"/>
          <w:color w:val="525866"/>
          <w:sz w:val="22"/>
        </w:rPr>
        <w:t xml:space="preserve"> the bigger swing factor given Borrow normalization headwinds; Square GPV acceleration is the secondary watch item.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Gross Profit ($B)</w:t>
            </w:r>
          </w:p>
        </w:tc>
        <w:tc>
          <w:tcPr>
            <w:tcW w:type="dxa" w:w="1234"/>
          </w:tcPr>
          <w:p>
            <w:r>
              <w:rPr>
                <w:rFonts w:ascii="Calibri" w:hAnsi="Calibri"/>
                <w:sz w:val="22"/>
              </w:rPr>
              <w:t>$2.909B</w:t>
            </w:r>
          </w:p>
        </w:tc>
        <w:tc>
          <w:tcPr>
            <w:tcW w:type="dxa" w:w="1234"/>
          </w:tcPr>
          <w:p>
            <w:r>
              <w:rPr>
                <w:rFonts w:ascii="Calibri" w:hAnsi="Calibri"/>
                <w:sz w:val="22"/>
              </w:rPr>
              <w:t>$2.537B</w:t>
            </w:r>
          </w:p>
        </w:tc>
        <w:tc>
          <w:tcPr>
            <w:tcW w:type="dxa" w:w="1234"/>
          </w:tcPr>
          <w:p>
            <w:r>
              <w:rPr>
                <w:rFonts w:ascii="Calibri" w:hAnsi="Calibri"/>
                <w:sz w:val="22"/>
              </w:rPr>
              <w:t>$3.056B</w:t>
            </w:r>
          </w:p>
        </w:tc>
        <w:tc>
          <w:tcPr>
            <w:tcW w:type="dxa" w:w="1234"/>
          </w:tcPr>
          <w:p>
            <w:r>
              <w:rPr>
                <w:rFonts w:ascii="Calibri" w:hAnsi="Calibri"/>
                <w:sz w:val="22"/>
              </w:rPr>
              <w:t>+20.5%</w:t>
            </w:r>
          </w:p>
        </w:tc>
        <w:tc>
          <w:tcPr>
            <w:tcW w:type="dxa" w:w="1234"/>
          </w:tcPr>
          <w:p>
            <w:r>
              <w:rPr>
                <w:rFonts w:ascii="Calibri" w:hAnsi="Calibri"/>
                <w:sz w:val="22"/>
              </w:rPr>
              <w:t>$3.04B (+20% YoY)</w:t>
            </w:r>
          </w:p>
        </w:tc>
        <w:tc>
          <w:tcPr>
            <w:tcW w:type="dxa" w:w="1234"/>
          </w:tcPr>
          <w:p>
            <w:r>
              <w:rPr>
                <w:rFonts w:ascii="Calibri" w:hAnsi="Calibri"/>
                <w:sz w:val="22"/>
              </w:rPr>
              <w:t>+0.5%</w:t>
            </w:r>
          </w:p>
        </w:tc>
      </w:tr>
      <w:tr>
        <w:tc>
          <w:tcPr>
            <w:tcW w:type="dxa" w:w="1234"/>
          </w:tcPr>
          <w:p>
            <w:r>
              <w:rPr>
                <w:rFonts w:ascii="Calibri" w:hAnsi="Calibri"/>
                <w:sz w:val="22"/>
              </w:rPr>
              <w:t>Adj. Operating Income ($M)</w:t>
            </w:r>
          </w:p>
        </w:tc>
        <w:tc>
          <w:tcPr>
            <w:tcW w:type="dxa" w:w="1234"/>
          </w:tcPr>
          <w:p>
            <w:r>
              <w:rPr>
                <w:rFonts w:ascii="Calibri" w:hAnsi="Calibri"/>
                <w:sz w:val="22"/>
              </w:rPr>
              <w:t>$727.7M</w:t>
            </w:r>
          </w:p>
        </w:tc>
        <w:tc>
          <w:tcPr>
            <w:tcW w:type="dxa" w:w="1234"/>
          </w:tcPr>
          <w:p>
            <w:r>
              <w:rPr>
                <w:rFonts w:ascii="Calibri" w:hAnsi="Calibri"/>
                <w:sz w:val="22"/>
              </w:rPr>
              <w:t>$549.6M</w:t>
            </w:r>
          </w:p>
        </w:tc>
        <w:tc>
          <w:tcPr>
            <w:tcW w:type="dxa" w:w="1234"/>
          </w:tcPr>
          <w:p>
            <w:r>
              <w:rPr>
                <w:rFonts w:ascii="Calibri" w:hAnsi="Calibri"/>
                <w:sz w:val="22"/>
              </w:rPr>
              <w:t>$744.5M</w:t>
            </w:r>
          </w:p>
        </w:tc>
        <w:tc>
          <w:tcPr>
            <w:tcW w:type="dxa" w:w="1234"/>
          </w:tcPr>
          <w:p>
            <w:r>
              <w:rPr>
                <w:rFonts w:ascii="Calibri" w:hAnsi="Calibri"/>
                <w:sz w:val="22"/>
              </w:rPr>
              <w:t>+35.5%</w:t>
            </w:r>
          </w:p>
        </w:tc>
        <w:tc>
          <w:tcPr>
            <w:tcW w:type="dxa" w:w="1234"/>
          </w:tcPr>
          <w:p>
            <w:r>
              <w:rPr>
                <w:rFonts w:ascii="Calibri" w:hAnsi="Calibri"/>
                <w:sz w:val="22"/>
              </w:rPr>
              <w:t>$740M (+35% YoY)</w:t>
            </w:r>
          </w:p>
        </w:tc>
        <w:tc>
          <w:tcPr>
            <w:tcW w:type="dxa" w:w="1234"/>
          </w:tcPr>
          <w:p>
            <w:r>
              <w:rPr>
                <w:rFonts w:ascii="Calibri" w:hAnsi="Calibri"/>
                <w:sz w:val="22"/>
              </w:rPr>
              <w:t>+0.6%</w:t>
            </w:r>
          </w:p>
        </w:tc>
      </w:tr>
      <w:tr>
        <w:tc>
          <w:tcPr>
            <w:tcW w:type="dxa" w:w="1234"/>
          </w:tcPr>
          <w:p>
            <w:r>
              <w:rPr>
                <w:rFonts w:ascii="Calibri" w:hAnsi="Calibri"/>
                <w:sz w:val="22"/>
              </w:rPr>
              <w:t>Adj. Diluted EPS ($)</w:t>
            </w:r>
          </w:p>
        </w:tc>
        <w:tc>
          <w:tcPr>
            <w:tcW w:type="dxa" w:w="1234"/>
          </w:tcPr>
          <w:p>
            <w:r>
              <w:rPr>
                <w:rFonts w:ascii="Calibri" w:hAnsi="Calibri"/>
                <w:sz w:val="22"/>
              </w:rPr>
              <w:t>$0.847</w:t>
            </w:r>
          </w:p>
        </w:tc>
        <w:tc>
          <w:tcPr>
            <w:tcW w:type="dxa" w:w="1234"/>
          </w:tcPr>
          <w:p>
            <w:r>
              <w:rPr>
                <w:rFonts w:ascii="Calibri" w:hAnsi="Calibri"/>
                <w:sz w:val="22"/>
              </w:rPr>
              <w:t>$0.620</w:t>
            </w:r>
          </w:p>
        </w:tc>
        <w:tc>
          <w:tcPr>
            <w:tcW w:type="dxa" w:w="1234"/>
          </w:tcPr>
          <w:p>
            <w:r>
              <w:rPr>
                <w:rFonts w:ascii="Calibri" w:hAnsi="Calibri"/>
                <w:sz w:val="22"/>
              </w:rPr>
              <w:t>$0.868</w:t>
            </w:r>
          </w:p>
        </w:tc>
        <w:tc>
          <w:tcPr>
            <w:tcW w:type="dxa" w:w="1234"/>
          </w:tcPr>
          <w:p>
            <w:r>
              <w:rPr>
                <w:rFonts w:ascii="Calibri" w:hAnsi="Calibri"/>
                <w:sz w:val="22"/>
              </w:rPr>
              <w:t>+40.0%</w:t>
            </w:r>
          </w:p>
        </w:tc>
        <w:tc>
          <w:tcPr>
            <w:tcW w:type="dxa" w:w="1234"/>
          </w:tcPr>
          <w:p>
            <w:r>
              <w:rPr>
                <w:rFonts w:ascii="Calibri" w:hAnsi="Calibri"/>
                <w:sz w:val="22"/>
              </w:rPr>
              <w:t>$0.86 (+39% YoY)</w:t>
            </w:r>
          </w:p>
        </w:tc>
        <w:tc>
          <w:tcPr>
            <w:tcW w:type="dxa" w:w="1234"/>
          </w:tcPr>
          <w:p>
            <w:r>
              <w:rPr>
                <w:rFonts w:ascii="Calibri" w:hAnsi="Calibri"/>
                <w:sz w:val="22"/>
              </w:rPr>
              <w:t>+0.9%</w:t>
            </w:r>
          </w:p>
        </w:tc>
      </w:tr>
      <w:tr>
        <w:tc>
          <w:tcPr>
            <w:tcW w:type="dxa" w:w="1234"/>
          </w:tcPr>
          <w:p>
            <w:r>
              <w:rPr>
                <w:rFonts w:ascii="Calibri" w:hAnsi="Calibri"/>
                <w:sz w:val="22"/>
              </w:rPr>
              <w:t>Cash App MTACs (M)</w:t>
            </w:r>
          </w:p>
        </w:tc>
        <w:tc>
          <w:tcPr>
            <w:tcW w:type="dxa" w:w="1234"/>
          </w:tcPr>
          <w:p>
            <w:r>
              <w:rPr>
                <w:rFonts w:ascii="Calibri" w:hAnsi="Calibri"/>
                <w:sz w:val="22"/>
              </w:rPr>
              <w:t>59.0M</w:t>
            </w:r>
          </w:p>
        </w:tc>
        <w:tc>
          <w:tcPr>
            <w:tcW w:type="dxa" w:w="1234"/>
          </w:tcPr>
          <w:p>
            <w:r>
              <w:rPr>
                <w:rFonts w:ascii="Calibri" w:hAnsi="Calibri"/>
                <w:sz w:val="22"/>
              </w:rPr>
              <w:t>57.0M</w:t>
            </w:r>
          </w:p>
        </w:tc>
        <w:tc>
          <w:tcPr>
            <w:tcW w:type="dxa" w:w="1234"/>
          </w:tcPr>
          <w:p>
            <w:r>
              <w:rPr>
                <w:rFonts w:ascii="Calibri" w:hAnsi="Calibri"/>
                <w:sz w:val="22"/>
              </w:rPr>
              <w:t>59.1M</w:t>
            </w:r>
          </w:p>
        </w:tc>
        <w:tc>
          <w:tcPr>
            <w:tcW w:type="dxa" w:w="1234"/>
          </w:tcPr>
          <w:p>
            <w:r>
              <w:rPr>
                <w:rFonts w:ascii="Calibri" w:hAnsi="Calibri"/>
                <w:sz w:val="22"/>
              </w:rPr>
              <w:t>+3.7%</w:t>
            </w:r>
          </w:p>
        </w:tc>
        <w:tc>
          <w:tcPr>
            <w:tcW w:type="dxa" w:w="1234"/>
          </w:tcPr>
          <w:p>
            <w:r>
              <w:rPr>
                <w:rFonts w:ascii="Calibri" w:hAnsi="Calibri"/>
                <w:sz w:val="22"/>
              </w:rPr>
              <w:t>Low single-digit growth (YoY); slight seasonal seq. decline vs. Q1</w:t>
            </w:r>
          </w:p>
        </w:tc>
        <w:tc>
          <w:tcPr>
            <w:tcW w:type="dxa" w:w="1234"/>
          </w:tcPr>
          <w:p>
            <w:r>
              <w:rPr>
                <w:rFonts w:ascii="Calibri" w:hAnsi="Calibri"/>
                <w:sz w:val="22"/>
              </w:rPr>
              <w:t>~Flat to guidance</w:t>
            </w:r>
          </w:p>
        </w:tc>
      </w:tr>
      <w:tr>
        <w:tc>
          <w:tcPr>
            <w:tcW w:type="dxa" w:w="1234"/>
          </w:tcPr>
          <w:p>
            <w:r>
              <w:rPr>
                <w:rFonts w:ascii="Calibri" w:hAnsi="Calibri"/>
                <w:sz w:val="22"/>
              </w:rPr>
              <w:t>Cash App Primary Banking Actives (M)</w:t>
            </w:r>
          </w:p>
        </w:tc>
        <w:tc>
          <w:tcPr>
            <w:tcW w:type="dxa" w:w="1234"/>
          </w:tcPr>
          <w:p>
            <w:r>
              <w:rPr>
                <w:rFonts w:ascii="Calibri" w:hAnsi="Calibri"/>
                <w:sz w:val="22"/>
              </w:rPr>
              <w:t>9.7M</w:t>
            </w:r>
          </w:p>
        </w:tc>
        <w:tc>
          <w:tcPr>
            <w:tcW w:type="dxa" w:w="1234"/>
          </w:tcPr>
          <w:p>
            <w:r>
              <w:rPr>
                <w:rFonts w:ascii="Calibri" w:hAnsi="Calibri"/>
                <w:sz w:val="22"/>
              </w:rPr>
              <w:t>8.0M</w:t>
            </w:r>
          </w:p>
        </w:tc>
        <w:tc>
          <w:tcPr>
            <w:tcW w:type="dxa" w:w="1234"/>
          </w:tcPr>
          <w:p>
            <w:r>
              <w:rPr>
                <w:rFonts w:ascii="Calibri" w:hAnsi="Calibri"/>
                <w:sz w:val="22"/>
              </w:rPr>
              <w:t>10.8M</w:t>
            </w:r>
          </w:p>
        </w:tc>
        <w:tc>
          <w:tcPr>
            <w:tcW w:type="dxa" w:w="1234"/>
          </w:tcPr>
          <w:p>
            <w:r>
              <w:rPr>
                <w:rFonts w:ascii="Calibri" w:hAnsi="Calibri"/>
                <w:sz w:val="22"/>
              </w:rPr>
              <w:t>+34.5%</w:t>
            </w:r>
          </w:p>
        </w:tc>
        <w:tc>
          <w:tcPr>
            <w:tcW w:type="dxa" w:w="1234"/>
          </w:tcPr>
          <w:p>
            <w:r>
              <w:rPr>
                <w:rFonts w:ascii="Calibri" w:hAnsi="Calibri"/>
                <w:sz w:val="22"/>
              </w:rPr>
              <w:t>Continued YoY growth; slight seasonal seq. decline vs. Q1</w:t>
            </w:r>
          </w:p>
        </w:tc>
        <w:tc>
          <w:tcPr>
            <w:tcW w:type="dxa" w:w="1234"/>
          </w:tcPr>
          <w:p>
            <w:r>
              <w:rPr>
                <w:rFonts w:ascii="Calibri" w:hAnsi="Calibri"/>
                <w:sz w:val="22"/>
              </w:rPr>
              <w:t>N/A — no specific guidance midpoint</w:t>
            </w:r>
          </w:p>
        </w:tc>
      </w:tr>
      <w:tr>
        <w:tc>
          <w:tcPr>
            <w:tcW w:type="dxa" w:w="1234"/>
          </w:tcPr>
          <w:p>
            <w:r>
              <w:rPr>
                <w:rFonts w:ascii="Calibri" w:hAnsi="Calibri"/>
                <w:sz w:val="22"/>
              </w:rPr>
              <w:t>Square GPV ($B)</w:t>
            </w:r>
          </w:p>
        </w:tc>
        <w:tc>
          <w:tcPr>
            <w:tcW w:type="dxa" w:w="1234"/>
          </w:tcPr>
          <w:p>
            <w:r>
              <w:rPr>
                <w:rFonts w:ascii="Calibri" w:hAnsi="Calibri"/>
                <w:sz w:val="22"/>
              </w:rPr>
              <w:t>$61.2B</w:t>
            </w:r>
          </w:p>
        </w:tc>
        <w:tc>
          <w:tcPr>
            <w:tcW w:type="dxa" w:w="1234"/>
          </w:tcPr>
          <w:p>
            <w:r>
              <w:rPr>
                <w:rFonts w:ascii="Calibri" w:hAnsi="Calibri"/>
                <w:sz w:val="22"/>
              </w:rPr>
              <w:t>$64.2B</w:t>
            </w:r>
          </w:p>
        </w:tc>
        <w:tc>
          <w:tcPr>
            <w:tcW w:type="dxa" w:w="1234"/>
          </w:tcPr>
          <w:p>
            <w:r>
              <w:rPr>
                <w:rFonts w:ascii="Calibri" w:hAnsi="Calibri"/>
                <w:sz w:val="22"/>
              </w:rPr>
              <w:t>$71.8B</w:t>
            </w:r>
          </w:p>
        </w:tc>
        <w:tc>
          <w:tcPr>
            <w:tcW w:type="dxa" w:w="1234"/>
          </w:tcPr>
          <w:p>
            <w:r>
              <w:rPr>
                <w:rFonts w:ascii="Calibri" w:hAnsi="Calibri"/>
                <w:sz w:val="22"/>
              </w:rPr>
              <w:t>+11.8%</w:t>
            </w:r>
          </w:p>
        </w:tc>
        <w:tc>
          <w:tcPr>
            <w:tcW w:type="dxa" w:w="1234"/>
          </w:tcPr>
          <w:p>
            <w:r>
              <w:rPr>
                <w:rFonts w:ascii="Calibri" w:hAnsi="Calibri"/>
                <w:sz w:val="22"/>
              </w:rPr>
              <w:t>Accelerate GPV growth in 2026 vs. 2025; April CC GPV +12%</w:t>
            </w:r>
          </w:p>
        </w:tc>
        <w:tc>
          <w:tcPr>
            <w:tcW w:type="dxa" w:w="1234"/>
          </w:tcPr>
          <w:p>
            <w:r>
              <w:rPr>
                <w:rFonts w:ascii="Calibri" w:hAnsi="Calibri"/>
                <w:sz w:val="22"/>
              </w:rPr>
              <w:t>~Tracking guidance</w:t>
            </w:r>
          </w:p>
        </w:tc>
      </w:tr>
      <w:tr>
        <w:tc>
          <w:tcPr>
            <w:tcW w:type="dxa" w:w="1234"/>
          </w:tcPr>
          <w:p>
            <w:r>
              <w:rPr>
                <w:rFonts w:ascii="Calibri" w:hAnsi="Calibri"/>
                <w:sz w:val="22"/>
              </w:rPr>
              <w:t>Consumer Lending Originations ($B)</w:t>
            </w:r>
          </w:p>
        </w:tc>
        <w:tc>
          <w:tcPr>
            <w:tcW w:type="dxa" w:w="1234"/>
          </w:tcPr>
          <w:p>
            <w:r>
              <w:rPr>
                <w:rFonts w:ascii="Calibri" w:hAnsi="Calibri"/>
                <w:sz w:val="22"/>
              </w:rPr>
              <w:t>$17.6B</w:t>
            </w:r>
          </w:p>
        </w:tc>
        <w:tc>
          <w:tcPr>
            <w:tcW w:type="dxa" w:w="1234"/>
          </w:tcPr>
          <w:p>
            <w:r>
              <w:rPr>
                <w:rFonts w:ascii="Calibri" w:hAnsi="Calibri"/>
                <w:sz w:val="22"/>
              </w:rPr>
              <w:t>$11.9B</w:t>
            </w:r>
          </w:p>
        </w:tc>
        <w:tc>
          <w:tcPr>
            <w:tcW w:type="dxa" w:w="1234"/>
          </w:tcPr>
          <w:p>
            <w:r>
              <w:rPr>
                <w:rFonts w:ascii="Calibri" w:hAnsi="Calibri"/>
                <w:sz w:val="22"/>
              </w:rPr>
              <w:t>$19.8B</w:t>
            </w:r>
          </w:p>
        </w:tc>
        <w:tc>
          <w:tcPr>
            <w:tcW w:type="dxa" w:w="1234"/>
          </w:tcPr>
          <w:p>
            <w:r>
              <w:rPr>
                <w:rFonts w:ascii="Calibri" w:hAnsi="Calibri"/>
                <w:sz w:val="22"/>
              </w:rPr>
              <w:t>+66.4%</w:t>
            </w:r>
          </w:p>
        </w:tc>
        <w:tc>
          <w:tcPr>
            <w:tcW w:type="dxa" w:w="1234"/>
          </w:tcPr>
          <w:p>
            <w:r>
              <w:rPr>
                <w:rFonts w:ascii="Calibri" w:hAnsi="Calibri"/>
                <w:sz w:val="22"/>
              </w:rPr>
              <w:t>Normalization expected as exceptional YoY comps are lapped</w:t>
            </w:r>
          </w:p>
        </w:tc>
        <w:tc>
          <w:tcPr>
            <w:tcW w:type="dxa" w:w="1234"/>
          </w:tcPr>
          <w:p>
            <w:r>
              <w:rPr>
                <w:rFonts w:ascii="Calibri" w:hAnsi="Calibri"/>
                <w:sz w:val="22"/>
              </w:rPr>
              <w:t>N/A — no specific guidance midpoint</w:t>
            </w:r>
          </w:p>
        </w:tc>
      </w:tr>
    </w:tbl>
    <w:p>
      <w:r>
        <w:rPr>
          <w:rFonts w:ascii="Calibri" w:hAnsi="Calibri"/>
          <w:color w:val="525866"/>
          <w:sz w:val="22"/>
        </w:rPr>
        <w:t>Sources: Visible Alpha Consensus and Actuals Data; Q1 2026 Earnings Call (May 7, 2026). Consensus estimates as of August 4, 2026. Q2 2025 actuals and Q1 2026 actuals from Visible Alpha. Guidance from Q1 2026 earnings call.</w:t>
      </w:r>
    </w:p>
    <w:p>
      <w:pPr>
        <w:pStyle w:val="Heading3"/>
      </w:pPr>
      <w:r>
        <w:rPr>
          <w:rFonts w:ascii="Calibri" w:hAnsi="Calibri"/>
          <w:b/>
          <w:color w:val="3B4259"/>
          <w:sz w:val="24"/>
        </w:rPr>
        <w:t>Table 2 — Beat/Miss History (Last 8 Quarters)</w:t>
      </w:r>
    </w:p>
    <w:p>
      <w:r>
        <w:rPr>
          <w:rFonts w:ascii="Calibri" w:hAnsi="Calibri"/>
          <w:b/>
          <w:color w:val="525866"/>
          <w:sz w:val="22"/>
        </w:rPr>
        <w:t>Top KPI #1: Gross Profit | Top KPI #2: Adj. Diluted EPS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Gross Profit Reported ($B)</w:t>
            </w:r>
          </w:p>
        </w:tc>
        <w:tc>
          <w:tcPr>
            <w:tcW w:type="dxa" w:w="960"/>
            <w:shd w:val="clear" w:color="auto" w:fill="3B4259"/>
          </w:tcPr>
          <w:p>
            <w:r>
              <w:rPr>
                <w:rFonts w:ascii="Calibri" w:hAnsi="Calibri"/>
                <w:b/>
                <w:color w:val="FFFFFF"/>
                <w:sz w:val="22"/>
              </w:rPr>
              <w:t>GP Consensus ($B)</w:t>
            </w:r>
          </w:p>
        </w:tc>
        <w:tc>
          <w:tcPr>
            <w:tcW w:type="dxa" w:w="960"/>
            <w:shd w:val="clear" w:color="auto" w:fill="3B4259"/>
          </w:tcPr>
          <w:p>
            <w:r>
              <w:rPr>
                <w:rFonts w:ascii="Calibri" w:hAnsi="Calibri"/>
                <w:b/>
                <w:color w:val="FFFFFF"/>
                <w:sz w:val="22"/>
              </w:rPr>
              <w:t>GP Surprise %</w:t>
            </w:r>
          </w:p>
        </w:tc>
        <w:tc>
          <w:tcPr>
            <w:tcW w:type="dxa" w:w="960"/>
            <w:shd w:val="clear" w:color="auto" w:fill="3B4259"/>
          </w:tcPr>
          <w:p>
            <w:r>
              <w:rPr>
                <w:rFonts w:ascii="Calibri" w:hAnsi="Calibri"/>
                <w:b/>
                <w:color w:val="FFFFFF"/>
                <w:sz w:val="22"/>
              </w:rPr>
              <w:t>GP Result</w:t>
            </w:r>
          </w:p>
        </w:tc>
        <w:tc>
          <w:tcPr>
            <w:tcW w:type="dxa" w:w="960"/>
            <w:shd w:val="clear" w:color="auto" w:fill="3B4259"/>
          </w:tcPr>
          <w:p>
            <w:r>
              <w:rPr>
                <w:rFonts w:ascii="Calibri" w:hAnsi="Calibri"/>
                <w:b/>
                <w:color w:val="FFFFFF"/>
                <w:sz w:val="22"/>
              </w:rPr>
              <w:t>Adj. EPS Reported ($)</w:t>
            </w:r>
          </w:p>
        </w:tc>
        <w:tc>
          <w:tcPr>
            <w:tcW w:type="dxa" w:w="960"/>
            <w:shd w:val="clear" w:color="auto" w:fill="3B4259"/>
          </w:tcPr>
          <w:p>
            <w:r>
              <w:rPr>
                <w:rFonts w:ascii="Calibri" w:hAnsi="Calibri"/>
                <w:b/>
                <w:color w:val="FFFFFF"/>
                <w:sz w:val="22"/>
              </w:rPr>
              <w:t>EPS Consensus ($)</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r>
      <w:tr>
        <w:tc>
          <w:tcPr>
            <w:tcW w:type="dxa" w:w="960"/>
          </w:tcPr>
          <w:p>
            <w:r>
              <w:rPr>
                <w:rFonts w:ascii="Calibri" w:hAnsi="Calibri"/>
                <w:sz w:val="22"/>
              </w:rPr>
              <w:t>Q1 2026</w:t>
            </w:r>
          </w:p>
        </w:tc>
        <w:tc>
          <w:tcPr>
            <w:tcW w:type="dxa" w:w="960"/>
          </w:tcPr>
          <w:p>
            <w:r>
              <w:rPr>
                <w:rFonts w:ascii="Calibri" w:hAnsi="Calibri"/>
                <w:sz w:val="22"/>
              </w:rPr>
              <w:t>$2.909B</w:t>
            </w:r>
          </w:p>
        </w:tc>
        <w:tc>
          <w:tcPr>
            <w:tcW w:type="dxa" w:w="960"/>
          </w:tcPr>
          <w:p>
            <w:r>
              <w:rPr>
                <w:rFonts w:ascii="Calibri" w:hAnsi="Calibri"/>
                <w:sz w:val="22"/>
              </w:rPr>
              <w:t>$2.802B</w:t>
            </w:r>
          </w:p>
        </w:tc>
        <w:tc>
          <w:tcPr>
            <w:tcW w:type="dxa" w:w="960"/>
          </w:tcPr>
          <w:p>
            <w:r>
              <w:rPr>
                <w:rFonts w:ascii="Calibri" w:hAnsi="Calibri"/>
                <w:b/>
                <w:color w:val="30A46C"/>
                <w:sz w:val="22"/>
              </w:rPr>
              <w:t>+3.8%</w:t>
            </w:r>
          </w:p>
        </w:tc>
        <w:tc>
          <w:tcPr>
            <w:tcW w:type="dxa" w:w="960"/>
          </w:tcPr>
          <w:p>
            <w:r>
              <w:rPr>
                <w:rFonts w:ascii="Calibri" w:hAnsi="Calibri"/>
                <w:b/>
                <w:color w:val="30A46C"/>
                <w:sz w:val="22"/>
              </w:rPr>
              <w:t>Beat</w:t>
            </w:r>
          </w:p>
        </w:tc>
        <w:tc>
          <w:tcPr>
            <w:tcW w:type="dxa" w:w="960"/>
          </w:tcPr>
          <w:p>
            <w:r>
              <w:rPr>
                <w:rFonts w:ascii="Calibri" w:hAnsi="Calibri"/>
                <w:sz w:val="22"/>
              </w:rPr>
              <w:t>$0.847</w:t>
            </w:r>
          </w:p>
        </w:tc>
        <w:tc>
          <w:tcPr>
            <w:tcW w:type="dxa" w:w="960"/>
          </w:tcPr>
          <w:p>
            <w:r>
              <w:rPr>
                <w:rFonts w:ascii="Calibri" w:hAnsi="Calibri"/>
                <w:sz w:val="22"/>
              </w:rPr>
              <w:t>$0.684</w:t>
            </w:r>
          </w:p>
        </w:tc>
        <w:tc>
          <w:tcPr>
            <w:tcW w:type="dxa" w:w="960"/>
          </w:tcPr>
          <w:p>
            <w:r>
              <w:rPr>
                <w:rFonts w:ascii="Calibri" w:hAnsi="Calibri"/>
                <w:b/>
                <w:color w:val="30A46C"/>
                <w:sz w:val="22"/>
              </w:rPr>
              <w:t>+23.8%</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$2.872B</w:t>
            </w:r>
          </w:p>
        </w:tc>
        <w:tc>
          <w:tcPr>
            <w:tcW w:type="dxa" w:w="960"/>
          </w:tcPr>
          <w:p>
            <w:r>
              <w:rPr>
                <w:rFonts w:ascii="Calibri" w:hAnsi="Calibri"/>
                <w:sz w:val="22"/>
              </w:rPr>
              <w:t>$2.743B</w:t>
            </w:r>
          </w:p>
        </w:tc>
        <w:tc>
          <w:tcPr>
            <w:tcW w:type="dxa" w:w="960"/>
          </w:tcPr>
          <w:p>
            <w:r>
              <w:rPr>
                <w:rFonts w:ascii="Calibri" w:hAnsi="Calibri"/>
                <w:b/>
                <w:color w:val="30A46C"/>
                <w:sz w:val="22"/>
              </w:rPr>
              <w:t>+4.7%</w:t>
            </w:r>
          </w:p>
        </w:tc>
        <w:tc>
          <w:tcPr>
            <w:tcW w:type="dxa" w:w="960"/>
          </w:tcPr>
          <w:p>
            <w:r>
              <w:rPr>
                <w:rFonts w:ascii="Calibri" w:hAnsi="Calibri"/>
                <w:b/>
                <w:color w:val="30A46C"/>
                <w:sz w:val="22"/>
              </w:rPr>
              <w:t>Beat</w:t>
            </w:r>
          </w:p>
        </w:tc>
        <w:tc>
          <w:tcPr>
            <w:tcW w:type="dxa" w:w="960"/>
          </w:tcPr>
          <w:p>
            <w:r>
              <w:rPr>
                <w:rFonts w:ascii="Calibri" w:hAnsi="Calibri"/>
                <w:sz w:val="22"/>
              </w:rPr>
              <w:t>$0.654</w:t>
            </w:r>
          </w:p>
        </w:tc>
        <w:tc>
          <w:tcPr>
            <w:tcW w:type="dxa" w:w="960"/>
          </w:tcPr>
          <w:p>
            <w:r>
              <w:rPr>
                <w:rFonts w:ascii="Calibri" w:hAnsi="Calibri"/>
                <w:sz w:val="22"/>
              </w:rPr>
              <w:t>$0.641</w:t>
            </w:r>
          </w:p>
        </w:tc>
        <w:tc>
          <w:tcPr>
            <w:tcW w:type="dxa" w:w="960"/>
          </w:tcPr>
          <w:p>
            <w:r>
              <w:rPr>
                <w:rFonts w:ascii="Calibri" w:hAnsi="Calibri"/>
                <w:b/>
                <w:color w:val="30A46C"/>
                <w:sz w:val="22"/>
              </w:rPr>
              <w:t>+2.0%</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$2.662B</w:t>
            </w:r>
          </w:p>
        </w:tc>
        <w:tc>
          <w:tcPr>
            <w:tcW w:type="dxa" w:w="960"/>
          </w:tcPr>
          <w:p>
            <w:r>
              <w:rPr>
                <w:rFonts w:ascii="Calibri" w:hAnsi="Calibri"/>
                <w:sz w:val="22"/>
              </w:rPr>
              <w:t>$2.603B</w:t>
            </w:r>
          </w:p>
        </w:tc>
        <w:tc>
          <w:tcPr>
            <w:tcW w:type="dxa" w:w="960"/>
          </w:tcPr>
          <w:p>
            <w:r>
              <w:rPr>
                <w:rFonts w:ascii="Calibri" w:hAnsi="Calibri"/>
                <w:b/>
                <w:color w:val="30A46C"/>
                <w:sz w:val="22"/>
              </w:rPr>
              <w:t>+2.3%</w:t>
            </w:r>
          </w:p>
        </w:tc>
        <w:tc>
          <w:tcPr>
            <w:tcW w:type="dxa" w:w="960"/>
          </w:tcPr>
          <w:p>
            <w:r>
              <w:rPr>
                <w:rFonts w:ascii="Calibri" w:hAnsi="Calibri"/>
                <w:b/>
                <w:color w:val="30A46C"/>
                <w:sz w:val="22"/>
              </w:rPr>
              <w:t>Beat</w:t>
            </w:r>
          </w:p>
        </w:tc>
        <w:tc>
          <w:tcPr>
            <w:tcW w:type="dxa" w:w="960"/>
          </w:tcPr>
          <w:p>
            <w:r>
              <w:rPr>
                <w:rFonts w:ascii="Calibri" w:hAnsi="Calibri"/>
                <w:sz w:val="22"/>
              </w:rPr>
              <w:t>$0.540</w:t>
            </w:r>
          </w:p>
        </w:tc>
        <w:tc>
          <w:tcPr>
            <w:tcW w:type="dxa" w:w="960"/>
          </w:tcPr>
          <w:p>
            <w:r>
              <w:rPr>
                <w:rFonts w:ascii="Calibri" w:hAnsi="Calibri"/>
                <w:sz w:val="22"/>
              </w:rPr>
              <w:t>$0.616</w:t>
            </w:r>
          </w:p>
        </w:tc>
        <w:tc>
          <w:tcPr>
            <w:tcW w:type="dxa" w:w="960"/>
          </w:tcPr>
          <w:p>
            <w:r>
              <w:rPr>
                <w:rFonts w:ascii="Calibri" w:hAnsi="Calibri"/>
                <w:b/>
                <w:color w:val="E5484D"/>
                <w:sz w:val="22"/>
              </w:rPr>
              <w:t>-12.3%</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$2.537B</w:t>
            </w:r>
          </w:p>
        </w:tc>
        <w:tc>
          <w:tcPr>
            <w:tcW w:type="dxa" w:w="960"/>
          </w:tcPr>
          <w:p>
            <w:r>
              <w:rPr>
                <w:rFonts w:ascii="Calibri" w:hAnsi="Calibri"/>
                <w:sz w:val="22"/>
              </w:rPr>
              <w:t>$2.460B</w:t>
            </w:r>
          </w:p>
        </w:tc>
        <w:tc>
          <w:tcPr>
            <w:tcW w:type="dxa" w:w="960"/>
          </w:tcPr>
          <w:p>
            <w:r>
              <w:rPr>
                <w:rFonts w:ascii="Calibri" w:hAnsi="Calibri"/>
                <w:b/>
                <w:color w:val="30A46C"/>
                <w:sz w:val="22"/>
              </w:rPr>
              <w:t>+3.1%</w:t>
            </w:r>
          </w:p>
        </w:tc>
        <w:tc>
          <w:tcPr>
            <w:tcW w:type="dxa" w:w="960"/>
          </w:tcPr>
          <w:p>
            <w:r>
              <w:rPr>
                <w:rFonts w:ascii="Calibri" w:hAnsi="Calibri"/>
                <w:b/>
                <w:color w:val="30A46C"/>
                <w:sz w:val="22"/>
              </w:rPr>
              <w:t>Beat</w:t>
            </w:r>
          </w:p>
        </w:tc>
        <w:tc>
          <w:tcPr>
            <w:tcW w:type="dxa" w:w="960"/>
          </w:tcPr>
          <w:p>
            <w:r>
              <w:rPr>
                <w:rFonts w:ascii="Calibri" w:hAnsi="Calibri"/>
                <w:sz w:val="22"/>
              </w:rPr>
              <w:t>$0.620</w:t>
            </w:r>
          </w:p>
        </w:tc>
        <w:tc>
          <w:tcPr>
            <w:tcW w:type="dxa" w:w="960"/>
          </w:tcPr>
          <w:p>
            <w:r>
              <w:rPr>
                <w:rFonts w:ascii="Calibri" w:hAnsi="Calibri"/>
                <w:sz w:val="22"/>
              </w:rPr>
              <w:t>$0.556</w:t>
            </w:r>
          </w:p>
        </w:tc>
        <w:tc>
          <w:tcPr>
            <w:tcW w:type="dxa" w:w="960"/>
          </w:tcPr>
          <w:p>
            <w:r>
              <w:rPr>
                <w:rFonts w:ascii="Calibri" w:hAnsi="Calibri"/>
                <w:b/>
                <w:color w:val="30A46C"/>
                <w:sz w:val="22"/>
              </w:rPr>
              <w:t>+11.5%</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$2.290B</w:t>
            </w:r>
          </w:p>
        </w:tc>
        <w:tc>
          <w:tcPr>
            <w:tcW w:type="dxa" w:w="960"/>
          </w:tcPr>
          <w:p>
            <w:r>
              <w:rPr>
                <w:rFonts w:ascii="Calibri" w:hAnsi="Calibri"/>
                <w:sz w:val="22"/>
              </w:rPr>
              <w:t>$2.324B</w:t>
            </w:r>
          </w:p>
        </w:tc>
        <w:tc>
          <w:tcPr>
            <w:tcW w:type="dxa" w:w="960"/>
          </w:tcPr>
          <w:p>
            <w:r>
              <w:rPr>
                <w:rFonts w:ascii="Calibri" w:hAnsi="Calibri"/>
                <w:b/>
                <w:color w:val="E5484D"/>
                <w:sz w:val="22"/>
              </w:rPr>
              <w:t>-1.5%</w:t>
            </w:r>
          </w:p>
        </w:tc>
        <w:tc>
          <w:tcPr>
            <w:tcW w:type="dxa" w:w="960"/>
          </w:tcPr>
          <w:p>
            <w:r>
              <w:rPr>
                <w:rFonts w:ascii="Calibri" w:hAnsi="Calibri"/>
                <w:b/>
                <w:color w:val="E5484D"/>
                <w:sz w:val="22"/>
              </w:rPr>
              <w:t>Miss</w:t>
            </w:r>
          </w:p>
        </w:tc>
        <w:tc>
          <w:tcPr>
            <w:tcW w:type="dxa" w:w="960"/>
          </w:tcPr>
          <w:p>
            <w:r>
              <w:rPr>
                <w:rFonts w:ascii="Calibri" w:hAnsi="Calibri"/>
                <w:sz w:val="22"/>
              </w:rPr>
              <w:t>$0.558</w:t>
            </w:r>
          </w:p>
        </w:tc>
        <w:tc>
          <w:tcPr>
            <w:tcW w:type="dxa" w:w="960"/>
          </w:tcPr>
          <w:p>
            <w:r>
              <w:rPr>
                <w:rFonts w:ascii="Calibri" w:hAnsi="Calibri"/>
                <w:sz w:val="22"/>
              </w:rPr>
              <w:t>$0.937</w:t>
            </w:r>
          </w:p>
        </w:tc>
        <w:tc>
          <w:tcPr>
            <w:tcW w:type="dxa" w:w="960"/>
          </w:tcPr>
          <w:p>
            <w:r>
              <w:rPr>
                <w:rFonts w:ascii="Calibri" w:hAnsi="Calibri"/>
                <w:b/>
                <w:color w:val="E5484D"/>
                <w:sz w:val="22"/>
              </w:rPr>
              <w:t>-40.4%</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$2.311B</w:t>
            </w:r>
          </w:p>
        </w:tc>
        <w:tc>
          <w:tcPr>
            <w:tcW w:type="dxa" w:w="960"/>
          </w:tcPr>
          <w:p>
            <w:r>
              <w:rPr>
                <w:rFonts w:ascii="Calibri" w:hAnsi="Calibri"/>
                <w:sz w:val="22"/>
              </w:rPr>
              <w:t>$2.325B</w:t>
            </w:r>
          </w:p>
        </w:tc>
        <w:tc>
          <w:tcPr>
            <w:tcW w:type="dxa" w:w="960"/>
          </w:tcPr>
          <w:p>
            <w:r>
              <w:rPr>
                <w:rFonts w:ascii="Calibri" w:hAnsi="Calibri"/>
                <w:b/>
                <w:color w:val="E5484D"/>
                <w:sz w:val="22"/>
              </w:rPr>
              <w:t>-0.6%</w:t>
            </w:r>
          </w:p>
        </w:tc>
        <w:tc>
          <w:tcPr>
            <w:tcW w:type="dxa" w:w="960"/>
          </w:tcPr>
          <w:p>
            <w:r>
              <w:rPr>
                <w:rFonts w:ascii="Calibri" w:hAnsi="Calibri"/>
                <w:b/>
                <w:color w:val="E5484D"/>
                <w:sz w:val="22"/>
              </w:rPr>
              <w:t>Miss</w:t>
            </w:r>
          </w:p>
        </w:tc>
        <w:tc>
          <w:tcPr>
            <w:tcW w:type="dxa" w:w="960"/>
          </w:tcPr>
          <w:p>
            <w:r>
              <w:rPr>
                <w:rFonts w:ascii="Calibri" w:hAnsi="Calibri"/>
                <w:sz w:val="22"/>
              </w:rPr>
              <w:t>$0.473</w:t>
            </w:r>
          </w:p>
        </w:tc>
        <w:tc>
          <w:tcPr>
            <w:tcW w:type="dxa" w:w="960"/>
          </w:tcPr>
          <w:p>
            <w:r>
              <w:rPr>
                <w:rFonts w:ascii="Calibri" w:hAnsi="Calibri"/>
                <w:sz w:val="22"/>
              </w:rPr>
              <w:t>$0.898</w:t>
            </w:r>
          </w:p>
        </w:tc>
        <w:tc>
          <w:tcPr>
            <w:tcW w:type="dxa" w:w="960"/>
          </w:tcPr>
          <w:p>
            <w:r>
              <w:rPr>
                <w:rFonts w:ascii="Calibri" w:hAnsi="Calibri"/>
                <w:b/>
                <w:color w:val="E5484D"/>
                <w:sz w:val="22"/>
              </w:rPr>
              <w:t>-47.3%</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$2.250B</w:t>
            </w:r>
          </w:p>
        </w:tc>
        <w:tc>
          <w:tcPr>
            <w:tcW w:type="dxa" w:w="960"/>
          </w:tcPr>
          <w:p>
            <w:r>
              <w:rPr>
                <w:rFonts w:ascii="Calibri" w:hAnsi="Calibri"/>
                <w:sz w:val="22"/>
              </w:rPr>
              <w:t>$2.236B</w:t>
            </w:r>
          </w:p>
        </w:tc>
        <w:tc>
          <w:tcPr>
            <w:tcW w:type="dxa" w:w="960"/>
          </w:tcPr>
          <w:p>
            <w:r>
              <w:rPr>
                <w:rFonts w:ascii="Calibri" w:hAnsi="Calibri"/>
                <w:b/>
                <w:color w:val="30A46C"/>
                <w:sz w:val="22"/>
              </w:rPr>
              <w:t>+0.6%</w:t>
            </w:r>
          </w:p>
        </w:tc>
        <w:tc>
          <w:tcPr>
            <w:tcW w:type="dxa" w:w="960"/>
          </w:tcPr>
          <w:p>
            <w:r>
              <w:rPr>
                <w:rFonts w:ascii="Calibri" w:hAnsi="Calibri"/>
                <w:b/>
                <w:color w:val="30A46C"/>
                <w:sz w:val="22"/>
              </w:rPr>
              <w:t>Beat</w:t>
            </w:r>
          </w:p>
        </w:tc>
        <w:tc>
          <w:tcPr>
            <w:tcW w:type="dxa" w:w="960"/>
          </w:tcPr>
          <w:p>
            <w:r>
              <w:rPr>
                <w:rFonts w:ascii="Calibri" w:hAnsi="Calibri"/>
                <w:sz w:val="22"/>
              </w:rPr>
              <w:t>$0.534</w:t>
            </w:r>
          </w:p>
        </w:tc>
        <w:tc>
          <w:tcPr>
            <w:tcW w:type="dxa" w:w="960"/>
          </w:tcPr>
          <w:p>
            <w:r>
              <w:rPr>
                <w:rFonts w:ascii="Calibri" w:hAnsi="Calibri"/>
                <w:sz w:val="22"/>
              </w:rPr>
              <w:t>$0.881</w:t>
            </w:r>
          </w:p>
        </w:tc>
        <w:tc>
          <w:tcPr>
            <w:tcW w:type="dxa" w:w="960"/>
          </w:tcPr>
          <w:p>
            <w:r>
              <w:rPr>
                <w:rFonts w:ascii="Calibri" w:hAnsi="Calibri"/>
                <w:b/>
                <w:color w:val="E5484D"/>
                <w:sz w:val="22"/>
              </w:rPr>
              <w:t>-39.4%</w:t>
            </w:r>
          </w:p>
        </w:tc>
        <w:tc>
          <w:tcPr>
            <w:tcW w:type="dxa" w:w="960"/>
          </w:tcPr>
          <w:p>
            <w:r>
              <w:rPr>
                <w:rFonts w:ascii="Calibri" w:hAnsi="Calibri"/>
                <w:b/>
                <w:color w:val="E5484D"/>
                <w:sz w:val="22"/>
              </w:rPr>
              <w:t>Miss</w:t>
            </w:r>
          </w:p>
        </w:tc>
      </w:tr>
      <w:tr>
        <w:tc>
          <w:tcPr>
            <w:tcW w:type="dxa" w:w="960"/>
          </w:tcPr>
          <w:p>
            <w:r>
              <w:rPr>
                <w:rFonts w:ascii="Calibri" w:hAnsi="Calibri"/>
                <w:sz w:val="22"/>
              </w:rPr>
              <w:t>Q2 2024</w:t>
            </w:r>
          </w:p>
        </w:tc>
        <w:tc>
          <w:tcPr>
            <w:tcW w:type="dxa" w:w="960"/>
          </w:tcPr>
          <w:p>
            <w:r>
              <w:rPr>
                <w:rFonts w:ascii="Calibri" w:hAnsi="Calibri"/>
                <w:sz w:val="22"/>
              </w:rPr>
              <w:t>$2.234B</w:t>
            </w:r>
          </w:p>
        </w:tc>
        <w:tc>
          <w:tcPr>
            <w:tcW w:type="dxa" w:w="960"/>
          </w:tcPr>
          <w:p>
            <w:r>
              <w:rPr>
                <w:rFonts w:ascii="Calibri" w:hAnsi="Calibri"/>
                <w:sz w:val="22"/>
              </w:rPr>
              <w:t>$2.192B</w:t>
            </w:r>
          </w:p>
        </w:tc>
        <w:tc>
          <w:tcPr>
            <w:tcW w:type="dxa" w:w="960"/>
          </w:tcPr>
          <w:p>
            <w:r>
              <w:rPr>
                <w:rFonts w:ascii="Calibri" w:hAnsi="Calibri"/>
                <w:b/>
                <w:color w:val="30A46C"/>
                <w:sz w:val="22"/>
              </w:rPr>
              <w:t>+1.9%</w:t>
            </w:r>
          </w:p>
        </w:tc>
        <w:tc>
          <w:tcPr>
            <w:tcW w:type="dxa" w:w="960"/>
          </w:tcPr>
          <w:p>
            <w:r>
              <w:rPr>
                <w:rFonts w:ascii="Calibri" w:hAnsi="Calibri"/>
                <w:b/>
                <w:color w:val="30A46C"/>
                <w:sz w:val="22"/>
              </w:rPr>
              <w:t>Beat</w:t>
            </w:r>
          </w:p>
        </w:tc>
        <w:tc>
          <w:tcPr>
            <w:tcW w:type="dxa" w:w="960"/>
          </w:tcPr>
          <w:p>
            <w:r>
              <w:rPr>
                <w:rFonts w:ascii="Calibri" w:hAnsi="Calibri"/>
                <w:sz w:val="22"/>
              </w:rPr>
              <w:t>$0.475</w:t>
            </w:r>
          </w:p>
        </w:tc>
        <w:tc>
          <w:tcPr>
            <w:tcW w:type="dxa" w:w="960"/>
          </w:tcPr>
          <w:p>
            <w:r>
              <w:rPr>
                <w:rFonts w:ascii="Calibri" w:hAnsi="Calibri"/>
                <w:sz w:val="22"/>
              </w:rPr>
              <w:t>$0.865</w:t>
            </w:r>
          </w:p>
        </w:tc>
        <w:tc>
          <w:tcPr>
            <w:tcW w:type="dxa" w:w="960"/>
          </w:tcPr>
          <w:p>
            <w:r>
              <w:rPr>
                <w:rFonts w:ascii="Calibri" w:hAnsi="Calibri"/>
                <w:b/>
                <w:color w:val="E5484D"/>
                <w:sz w:val="22"/>
              </w:rPr>
              <w:t>-45.1%</w:t>
            </w:r>
          </w:p>
        </w:tc>
        <w:tc>
          <w:tcPr>
            <w:tcW w:type="dxa" w:w="960"/>
          </w:tcPr>
          <w:p>
            <w:r>
              <w:rPr>
                <w:rFonts w:ascii="Calibri" w:hAnsi="Calibri"/>
                <w:b/>
                <w:color w:val="E5484D"/>
                <w:sz w:val="22"/>
              </w:rPr>
              <w:t>Miss</w:t>
            </w:r>
          </w:p>
        </w:tc>
      </w:tr>
    </w:tbl>
    <w:p>
      <w:r>
        <w:rPr>
          <w:rFonts w:ascii="Calibri" w:hAnsi="Calibri"/>
          <w:color w:val="525866"/>
          <w:sz w:val="22"/>
        </w:rPr>
        <w:t>Source: Visible Alpha Consensus and Actuals Data. Note: Adj. EPS beat/miss history reflects a structural shift — large EPS misses in 2024 and Q1 2025 were driven by elevated SBC and non-cash charges relative to consensus models; the operating EPS metric (used above) was not consistently tracked by consensus until mid-2025. Gross profit has been the more reliable beat/miss signal, with Block beating on GP in 6 of the last 8 quarters. The Q1 2026 EPS beat of +24% was the largest in the dataset, reflecting the AI-driven cost restructuring and margin expansion.</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full-year guidance above prior consensus on the Q1 call and has not issued any subsequent revisions; tone is confident with a specific caution on </w:t>
      </w:r>
    </w:p>
    <w:p>
      <w:r>
        <w:rPr>
          <w:rFonts w:ascii="Calibri" w:hAnsi="Calibri"/>
          <w:b/>
          <w:color w:val="525866"/>
          <w:sz w:val="22"/>
        </w:rPr>
        <w:t>Borrow normalization</w:t>
      </w:r>
      <w:r>
        <w:rPr>
          <w:rFonts w:ascii="Calibri" w:hAnsi="Calibri"/>
          <w:color w:val="525866"/>
          <w:sz w:val="22"/>
        </w:rPr>
        <w:t xml:space="preserve"> as the primary back-half headwind. No post-earnings guidance changes have been disclosed.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Gross Profit</w:t>
            </w:r>
          </w:p>
        </w:tc>
        <w:tc>
          <w:tcPr>
            <w:tcW w:type="dxa" w:w="1728"/>
          </w:tcPr>
          <w:p>
            <w:r>
              <w:rPr>
                <w:rFonts w:ascii="Calibri" w:hAnsi="Calibri"/>
                <w:sz w:val="22"/>
              </w:rPr>
              <w:t>$3.04B (+20% YoY)</w:t>
            </w:r>
          </w:p>
        </w:tc>
        <w:tc>
          <w:tcPr>
            <w:tcW w:type="dxa" w:w="1728"/>
          </w:tcPr>
          <w:p>
            <w:r>
              <w:rPr>
                <w:rFonts w:ascii="Calibri" w:hAnsi="Calibri"/>
                <w:sz w:val="22"/>
              </w:rPr>
              <w:t>—</w:t>
            </w:r>
          </w:p>
        </w:tc>
        <w:tc>
          <w:tcPr>
            <w:tcW w:type="dxa" w:w="1728"/>
          </w:tcPr>
          <w:p>
            <w:r>
              <w:rPr>
                <w:rFonts w:ascii="Calibri" w:hAnsi="Calibri"/>
                <w:sz w:val="22"/>
              </w:rPr>
              <w:t>$3.056B</w:t>
            </w:r>
          </w:p>
        </w:tc>
        <w:tc>
          <w:tcPr>
            <w:tcW w:type="dxa" w:w="1728"/>
          </w:tcPr>
          <w:p>
            <w:r>
              <w:rPr>
                <w:rFonts w:ascii="Calibri" w:hAnsi="Calibri"/>
                <w:sz w:val="22"/>
              </w:rPr>
              <w:t>Consensus +0.5% above guidance midpoint; no post-earnings revision</w:t>
            </w:r>
          </w:p>
        </w:tc>
      </w:tr>
      <w:tr>
        <w:tc>
          <w:tcPr>
            <w:tcW w:type="dxa" w:w="1728"/>
          </w:tcPr>
          <w:p>
            <w:r>
              <w:rPr>
                <w:rFonts w:ascii="Calibri" w:hAnsi="Calibri"/>
                <w:sz w:val="22"/>
              </w:rPr>
              <w:t>Q2 2026 Adj. Operating Income</w:t>
            </w:r>
          </w:p>
        </w:tc>
        <w:tc>
          <w:tcPr>
            <w:tcW w:type="dxa" w:w="1728"/>
          </w:tcPr>
          <w:p>
            <w:r>
              <w:rPr>
                <w:rFonts w:ascii="Calibri" w:hAnsi="Calibri"/>
                <w:sz w:val="22"/>
              </w:rPr>
              <w:t>$740M (+35% YoY, +2pts margin YoY)</w:t>
            </w:r>
          </w:p>
        </w:tc>
        <w:tc>
          <w:tcPr>
            <w:tcW w:type="dxa" w:w="1728"/>
          </w:tcPr>
          <w:p>
            <w:r>
              <w:rPr>
                <w:rFonts w:ascii="Calibri" w:hAnsi="Calibri"/>
                <w:sz w:val="22"/>
              </w:rPr>
              <w:t>—</w:t>
            </w:r>
          </w:p>
        </w:tc>
        <w:tc>
          <w:tcPr>
            <w:tcW w:type="dxa" w:w="1728"/>
          </w:tcPr>
          <w:p>
            <w:r>
              <w:rPr>
                <w:rFonts w:ascii="Calibri" w:hAnsi="Calibri"/>
                <w:sz w:val="22"/>
              </w:rPr>
              <w:t>$744.5M</w:t>
            </w:r>
          </w:p>
        </w:tc>
        <w:tc>
          <w:tcPr>
            <w:tcW w:type="dxa" w:w="1728"/>
          </w:tcPr>
          <w:p>
            <w:r>
              <w:rPr>
                <w:rFonts w:ascii="Calibri" w:hAnsi="Calibri"/>
                <w:sz w:val="22"/>
              </w:rPr>
              <w:t>Consensus +0.6% above guidance; no revision</w:t>
            </w:r>
          </w:p>
        </w:tc>
      </w:tr>
      <w:tr>
        <w:tc>
          <w:tcPr>
            <w:tcW w:type="dxa" w:w="1728"/>
          </w:tcPr>
          <w:p>
            <w:r>
              <w:rPr>
                <w:rFonts w:ascii="Calibri" w:hAnsi="Calibri"/>
                <w:sz w:val="22"/>
              </w:rPr>
              <w:t>Q2 2026 Adj. Diluted EPS</w:t>
            </w:r>
          </w:p>
        </w:tc>
        <w:tc>
          <w:tcPr>
            <w:tcW w:type="dxa" w:w="1728"/>
          </w:tcPr>
          <w:p>
            <w:r>
              <w:rPr>
                <w:rFonts w:ascii="Calibri" w:hAnsi="Calibri"/>
                <w:sz w:val="22"/>
              </w:rPr>
              <w:t>$0.86 (+39% YoY)</w:t>
            </w:r>
          </w:p>
        </w:tc>
        <w:tc>
          <w:tcPr>
            <w:tcW w:type="dxa" w:w="1728"/>
          </w:tcPr>
          <w:p>
            <w:r>
              <w:rPr>
                <w:rFonts w:ascii="Calibri" w:hAnsi="Calibri"/>
                <w:sz w:val="22"/>
              </w:rPr>
              <w:t>—</w:t>
            </w:r>
          </w:p>
        </w:tc>
        <w:tc>
          <w:tcPr>
            <w:tcW w:type="dxa" w:w="1728"/>
          </w:tcPr>
          <w:p>
            <w:r>
              <w:rPr>
                <w:rFonts w:ascii="Calibri" w:hAnsi="Calibri"/>
                <w:sz w:val="22"/>
              </w:rPr>
              <w:t>$0.868</w:t>
            </w:r>
          </w:p>
        </w:tc>
        <w:tc>
          <w:tcPr>
            <w:tcW w:type="dxa" w:w="1728"/>
          </w:tcPr>
          <w:p>
            <w:r>
              <w:rPr>
                <w:rFonts w:ascii="Calibri" w:hAnsi="Calibri"/>
                <w:sz w:val="22"/>
              </w:rPr>
              <w:t>Consensus +0.9% above guidance; no revision</w:t>
            </w:r>
          </w:p>
        </w:tc>
      </w:tr>
      <w:tr>
        <w:tc>
          <w:tcPr>
            <w:tcW w:type="dxa" w:w="1728"/>
          </w:tcPr>
          <w:p>
            <w:r>
              <w:rPr>
                <w:rFonts w:ascii="Calibri" w:hAnsi="Calibri"/>
                <w:sz w:val="22"/>
              </w:rPr>
              <w:t>FY2026 Gross Profit</w:t>
            </w:r>
          </w:p>
        </w:tc>
        <w:tc>
          <w:tcPr>
            <w:tcW w:type="dxa" w:w="1728"/>
          </w:tcPr>
          <w:p>
            <w:r>
              <w:rPr>
                <w:rFonts w:ascii="Calibri" w:hAnsi="Calibri"/>
                <w:sz w:val="22"/>
              </w:rPr>
              <w:t>$12.33B (+19% YoY, raised +1pt from prior guide)</w:t>
            </w:r>
          </w:p>
        </w:tc>
        <w:tc>
          <w:tcPr>
            <w:tcW w:type="dxa" w:w="1728"/>
          </w:tcPr>
          <w:p>
            <w:r>
              <w:rPr>
                <w:rFonts w:ascii="Calibri" w:hAnsi="Calibri"/>
                <w:sz w:val="22"/>
              </w:rPr>
              <w:t>—</w:t>
            </w:r>
          </w:p>
        </w:tc>
        <w:tc>
          <w:tcPr>
            <w:tcW w:type="dxa" w:w="1728"/>
          </w:tcPr>
          <w:p>
            <w:r>
              <w:rPr>
                <w:rFonts w:ascii="Calibri" w:hAnsi="Calibri"/>
                <w:sz w:val="22"/>
              </w:rPr>
              <w:t>$12.379B</w:t>
            </w:r>
          </w:p>
        </w:tc>
        <w:tc>
          <w:tcPr>
            <w:tcW w:type="dxa" w:w="1728"/>
          </w:tcPr>
          <w:p>
            <w:r>
              <w:rPr>
                <w:rFonts w:ascii="Calibri" w:hAnsi="Calibri"/>
                <w:sz w:val="22"/>
              </w:rPr>
              <w:t>↑ Raised at Q1 earnings (May 7, 2026); +1pt above prior guide; confident on mid-teens exit rate</w:t>
            </w:r>
          </w:p>
        </w:tc>
      </w:tr>
      <w:tr>
        <w:tc>
          <w:tcPr>
            <w:tcW w:type="dxa" w:w="1728"/>
          </w:tcPr>
          <w:p>
            <w:r>
              <w:rPr>
                <w:rFonts w:ascii="Calibri" w:hAnsi="Calibri"/>
                <w:sz w:val="22"/>
              </w:rPr>
              <w:t>FY2026 Adj. Operating Income</w:t>
            </w:r>
          </w:p>
        </w:tc>
        <w:tc>
          <w:tcPr>
            <w:tcW w:type="dxa" w:w="1728"/>
          </w:tcPr>
          <w:p>
            <w:r>
              <w:rPr>
                <w:rFonts w:ascii="Calibri" w:hAnsi="Calibri"/>
                <w:sz w:val="22"/>
              </w:rPr>
              <w:t>$3.34B (+~50% YoY, margin +1pt vs. prior guide)</w:t>
            </w:r>
          </w:p>
        </w:tc>
        <w:tc>
          <w:tcPr>
            <w:tcW w:type="dxa" w:w="1728"/>
          </w:tcPr>
          <w:p>
            <w:r>
              <w:rPr>
                <w:rFonts w:ascii="Calibri" w:hAnsi="Calibri"/>
                <w:sz w:val="22"/>
              </w:rPr>
              <w:t>—</w:t>
            </w:r>
          </w:p>
        </w:tc>
        <w:tc>
          <w:tcPr>
            <w:tcW w:type="dxa" w:w="1728"/>
          </w:tcPr>
          <w:p>
            <w:r>
              <w:rPr>
                <w:rFonts w:ascii="Calibri" w:hAnsi="Calibri"/>
                <w:sz w:val="22"/>
              </w:rPr>
              <w:t>$3.351B</w:t>
            </w:r>
          </w:p>
        </w:tc>
        <w:tc>
          <w:tcPr>
            <w:tcW w:type="dxa" w:w="1728"/>
          </w:tcPr>
          <w:p>
            <w:r>
              <w:rPr>
                <w:rFonts w:ascii="Calibri" w:hAnsi="Calibri"/>
                <w:sz w:val="22"/>
              </w:rPr>
              <w:t>↑ Raised at Q1 earnings; margin expectations up 1pt; H2 margin expansion expected in each of Q3 and Q4</w:t>
            </w:r>
          </w:p>
        </w:tc>
      </w:tr>
      <w:tr>
        <w:tc>
          <w:tcPr>
            <w:tcW w:type="dxa" w:w="1728"/>
          </w:tcPr>
          <w:p>
            <w:r>
              <w:rPr>
                <w:rFonts w:ascii="Calibri" w:hAnsi="Calibri"/>
                <w:sz w:val="22"/>
              </w:rPr>
              <w:t>FY2026 Adj. Diluted EPS</w:t>
            </w:r>
          </w:p>
        </w:tc>
        <w:tc>
          <w:tcPr>
            <w:tcW w:type="dxa" w:w="1728"/>
          </w:tcPr>
          <w:p>
            <w:r>
              <w:rPr>
                <w:rFonts w:ascii="Calibri" w:hAnsi="Calibri"/>
                <w:sz w:val="22"/>
              </w:rPr>
              <w:t>$3.85 (+62% YoY)</w:t>
            </w:r>
          </w:p>
        </w:tc>
        <w:tc>
          <w:tcPr>
            <w:tcW w:type="dxa" w:w="1728"/>
          </w:tcPr>
          <w:p>
            <w:r>
              <w:rPr>
                <w:rFonts w:ascii="Calibri" w:hAnsi="Calibri"/>
                <w:sz w:val="22"/>
              </w:rPr>
              <w:t>—</w:t>
            </w:r>
          </w:p>
        </w:tc>
        <w:tc>
          <w:tcPr>
            <w:tcW w:type="dxa" w:w="1728"/>
          </w:tcPr>
          <w:p>
            <w:r>
              <w:rPr>
                <w:rFonts w:ascii="Calibri" w:hAnsi="Calibri"/>
                <w:sz w:val="22"/>
              </w:rPr>
              <w:t>$3.904</w:t>
            </w:r>
          </w:p>
        </w:tc>
        <w:tc>
          <w:tcPr>
            <w:tcW w:type="dxa" w:w="1728"/>
          </w:tcPr>
          <w:p>
            <w:r>
              <w:rPr>
                <w:rFonts w:ascii="Calibri" w:hAnsi="Calibri"/>
                <w:sz w:val="22"/>
              </w:rPr>
              <w:t>↑ Raised at Q1 earnings; consensus slightly above guidance; no post-earnings revision</w:t>
            </w:r>
          </w:p>
        </w:tc>
      </w:tr>
      <w:tr>
        <w:tc>
          <w:tcPr>
            <w:tcW w:type="dxa" w:w="1728"/>
          </w:tcPr>
          <w:p>
            <w:r>
              <w:rPr>
                <w:rFonts w:ascii="Calibri" w:hAnsi="Calibri"/>
                <w:sz w:val="22"/>
              </w:rPr>
              <w:t>Cash App MTACs (FY2026)</w:t>
            </w:r>
          </w:p>
        </w:tc>
        <w:tc>
          <w:tcPr>
            <w:tcW w:type="dxa" w:w="1728"/>
          </w:tcPr>
          <w:p>
            <w:r>
              <w:rPr>
                <w:rFonts w:ascii="Calibri" w:hAnsi="Calibri"/>
                <w:sz w:val="22"/>
              </w:rPr>
              <w:t>Low single-digit actives growth for remainder of 2026</w:t>
            </w:r>
          </w:p>
        </w:tc>
        <w:tc>
          <w:tcPr>
            <w:tcW w:type="dxa" w:w="1728"/>
          </w:tcPr>
          <w:p>
            <w:r>
              <w:rPr>
                <w:rFonts w:ascii="Calibri" w:hAnsi="Calibri"/>
                <w:sz w:val="22"/>
              </w:rPr>
              <w:t>—</w:t>
            </w:r>
          </w:p>
        </w:tc>
        <w:tc>
          <w:tcPr>
            <w:tcW w:type="dxa" w:w="1728"/>
          </w:tcPr>
          <w:p>
            <w:r>
              <w:rPr>
                <w:rFonts w:ascii="Calibri" w:hAnsi="Calibri"/>
                <w:sz w:val="22"/>
              </w:rPr>
              <w:t>~59.1M (Q2E)</w:t>
            </w:r>
          </w:p>
        </w:tc>
        <w:tc>
          <w:tcPr>
            <w:tcW w:type="dxa" w:w="1728"/>
          </w:tcPr>
          <w:p>
            <w:r>
              <w:rPr>
                <w:rFonts w:ascii="Calibri" w:hAnsi="Calibri"/>
                <w:sz w:val="22"/>
              </w:rPr>
              <w:t>Mgmt explicitly flagged Borrow normalization as headwind; Neighborhoods expected to drive actives in H2</w:t>
            </w:r>
          </w:p>
        </w:tc>
      </w:tr>
      <w:tr>
        <w:tc>
          <w:tcPr>
            <w:tcW w:type="dxa" w:w="1728"/>
          </w:tcPr>
          <w:p>
            <w:r>
              <w:rPr>
                <w:rFonts w:ascii="Calibri" w:hAnsi="Calibri"/>
                <w:sz w:val="22"/>
              </w:rPr>
              <w:t>Square GPV (FY2026)</w:t>
            </w:r>
          </w:p>
        </w:tc>
        <w:tc>
          <w:tcPr>
            <w:tcW w:type="dxa" w:w="1728"/>
          </w:tcPr>
          <w:p>
            <w:r>
              <w:rPr>
                <w:rFonts w:ascii="Calibri" w:hAnsi="Calibri"/>
                <w:sz w:val="22"/>
              </w:rPr>
              <w:t>Accelerate GPV growth in 2026 vs. 2025; GP to grow roughly in line with GPV in H2</w:t>
            </w:r>
          </w:p>
        </w:tc>
        <w:tc>
          <w:tcPr>
            <w:tcW w:type="dxa" w:w="1728"/>
          </w:tcPr>
          <w:p>
            <w:r>
              <w:rPr>
                <w:rFonts w:ascii="Calibri" w:hAnsi="Calibri"/>
                <w:sz w:val="22"/>
              </w:rPr>
              <w:t>—</w:t>
            </w:r>
          </w:p>
        </w:tc>
        <w:tc>
          <w:tcPr>
            <w:tcW w:type="dxa" w:w="1728"/>
          </w:tcPr>
          <w:p>
            <w:r>
              <w:rPr>
                <w:rFonts w:ascii="Calibri" w:hAnsi="Calibri"/>
                <w:sz w:val="22"/>
              </w:rPr>
              <w:t>$71.8B (Q2E); $280.1B (FY)</w:t>
            </w:r>
          </w:p>
        </w:tc>
        <w:tc>
          <w:tcPr>
            <w:tcW w:type="dxa" w:w="1728"/>
          </w:tcPr>
          <w:p>
            <w:r>
              <w:rPr>
                <w:rFonts w:ascii="Calibri" w:hAnsi="Calibri"/>
                <w:sz w:val="22"/>
              </w:rPr>
              <w:t>April CC GPV +12%; U.S. +9%; international +25% CC; NVA growth expected to support GPV despite tougher comps</w:t>
            </w:r>
          </w:p>
        </w:tc>
      </w:tr>
    </w:tbl>
    <w:p>
      <w:r>
        <w:rPr>
          <w:rFonts w:ascii="Calibri" w:hAnsi="Calibri"/>
          <w:color w:val="525866"/>
          <w:sz w:val="22"/>
        </w:rPr>
        <w:t>Source: Q1 2026 Earnings Call transcript (May 7, 2026); Visible Alpha Consensus and Actuals Data. No post-earnings guidance revisions have been disclosed via 8-K, conference, or investor day since May 7,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moved up sharply and in lockstep with management's raised guidance following the Q1 print — Q2 gross profit consensus rose ~$8M and FY2026 gross profit rose ~$160M post-earnings, both tracking guidance rather than diverging. The gap between consensus and guidance is narrow and represents </w:t>
      </w:r>
    </w:p>
    <w:p>
      <w:r>
        <w:rPr>
          <w:rFonts w:ascii="Calibri" w:hAnsi="Calibri"/>
          <w:b/>
          <w:color w:val="525866"/>
          <w:sz w:val="22"/>
        </w:rPr>
        <w:t>cushion rather than risk</w:t>
      </w:r>
      <w:r>
        <w:rPr>
          <w:rFonts w:ascii="Calibri" w:hAnsi="Calibri"/>
          <w:color w:val="525866"/>
          <w:sz w:val="22"/>
        </w:rPr>
        <w:t>, as Block has consistently beaten its own guidance in recent quarters.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5/12/26)</w:t>
            </w:r>
          </w:p>
        </w:tc>
        <w:tc>
          <w:tcPr>
            <w:tcW w:type="dxa" w:w="1080"/>
            <w:shd w:val="clear" w:color="auto" w:fill="3B4259"/>
          </w:tcPr>
          <w:p>
            <w:r>
              <w:rPr>
                <w:rFonts w:ascii="Calibri" w:hAnsi="Calibri"/>
                <w:b/>
                <w:color w:val="FFFFFF"/>
                <w:sz w:val="22"/>
              </w:rPr>
              <w:t>Current Consensus (8/4/26)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Gross Profit (Q2 2026)</w:t>
            </w:r>
          </w:p>
        </w:tc>
        <w:tc>
          <w:tcPr>
            <w:tcW w:type="dxa" w:w="1080"/>
          </w:tcPr>
          <w:p>
            <w:r>
              <w:rPr>
                <w:rFonts w:ascii="Calibri" w:hAnsi="Calibri"/>
                <w:sz w:val="22"/>
              </w:rPr>
              <w:t>$3.048B</w:t>
            </w:r>
          </w:p>
        </w:tc>
        <w:tc>
          <w:tcPr>
            <w:tcW w:type="dxa" w:w="1080"/>
          </w:tcPr>
          <w:p>
            <w:r>
              <w:rPr>
                <w:rFonts w:ascii="Calibri" w:hAnsi="Calibri"/>
                <w:sz w:val="22"/>
              </w:rPr>
              <w:t>$3.056B</w:t>
            </w:r>
          </w:p>
        </w:tc>
        <w:tc>
          <w:tcPr>
            <w:tcW w:type="dxa" w:w="1080"/>
          </w:tcPr>
          <w:p>
            <w:r>
              <w:rPr>
                <w:rFonts w:ascii="Calibri" w:hAnsi="Calibri"/>
                <w:sz w:val="22"/>
              </w:rPr>
              <w:t>+0.3%</w:t>
            </w:r>
          </w:p>
        </w:tc>
        <w:tc>
          <w:tcPr>
            <w:tcW w:type="dxa" w:w="1080"/>
          </w:tcPr>
          <w:p>
            <w:r>
              <w:rPr>
                <w:rFonts w:ascii="Calibri" w:hAnsi="Calibri"/>
                <w:sz w:val="22"/>
              </w:rPr>
              <w:t>$3.04B</w:t>
            </w:r>
          </w:p>
        </w:tc>
        <w:tc>
          <w:tcPr>
            <w:tcW w:type="dxa" w:w="1080"/>
          </w:tcPr>
          <w:p>
            <w:r>
              <w:rPr>
                <w:rFonts w:ascii="Calibri" w:hAnsi="Calibri"/>
                <w:sz w:val="22"/>
              </w:rPr>
              <w:t>$3.04B (unchanged)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Operating Income (Q2 2026)</w:t>
            </w:r>
          </w:p>
        </w:tc>
        <w:tc>
          <w:tcPr>
            <w:tcW w:type="dxa" w:w="1080"/>
          </w:tcPr>
          <w:p>
            <w:r>
              <w:rPr>
                <w:rFonts w:ascii="Calibri" w:hAnsi="Calibri"/>
                <w:sz w:val="22"/>
              </w:rPr>
              <w:t>$741.9M</w:t>
            </w:r>
          </w:p>
        </w:tc>
        <w:tc>
          <w:tcPr>
            <w:tcW w:type="dxa" w:w="1080"/>
          </w:tcPr>
          <w:p>
            <w:r>
              <w:rPr>
                <w:rFonts w:ascii="Calibri" w:hAnsi="Calibri"/>
                <w:sz w:val="22"/>
              </w:rPr>
              <w:t>$744.5M</w:t>
            </w:r>
          </w:p>
        </w:tc>
        <w:tc>
          <w:tcPr>
            <w:tcW w:type="dxa" w:w="1080"/>
          </w:tcPr>
          <w:p>
            <w:r>
              <w:rPr>
                <w:rFonts w:ascii="Calibri" w:hAnsi="Calibri"/>
                <w:sz w:val="22"/>
              </w:rPr>
              <w:t>+0.4%</w:t>
            </w:r>
          </w:p>
        </w:tc>
        <w:tc>
          <w:tcPr>
            <w:tcW w:type="dxa" w:w="1080"/>
          </w:tcPr>
          <w:p>
            <w:r>
              <w:rPr>
                <w:rFonts w:ascii="Calibri" w:hAnsi="Calibri"/>
                <w:sz w:val="22"/>
              </w:rPr>
              <w:t>$740M</w:t>
            </w:r>
          </w:p>
        </w:tc>
        <w:tc>
          <w:tcPr>
            <w:tcW w:type="dxa" w:w="1080"/>
          </w:tcPr>
          <w:p>
            <w:r>
              <w:rPr>
                <w:rFonts w:ascii="Calibri" w:hAnsi="Calibri"/>
                <w:sz w:val="22"/>
              </w:rPr>
              <w:t>$740M (unchanged)</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Adj. Diluted EPS (Q2 2026)</w:t>
            </w:r>
          </w:p>
        </w:tc>
        <w:tc>
          <w:tcPr>
            <w:tcW w:type="dxa" w:w="1080"/>
          </w:tcPr>
          <w:p>
            <w:r>
              <w:rPr>
                <w:rFonts w:ascii="Calibri" w:hAnsi="Calibri"/>
                <w:sz w:val="22"/>
              </w:rPr>
              <w:t>$0.861</w:t>
            </w:r>
          </w:p>
        </w:tc>
        <w:tc>
          <w:tcPr>
            <w:tcW w:type="dxa" w:w="1080"/>
          </w:tcPr>
          <w:p>
            <w:r>
              <w:rPr>
                <w:rFonts w:ascii="Calibri" w:hAnsi="Calibri"/>
                <w:sz w:val="22"/>
              </w:rPr>
              <w:t>$0.868</w:t>
            </w:r>
          </w:p>
        </w:tc>
        <w:tc>
          <w:tcPr>
            <w:tcW w:type="dxa" w:w="1080"/>
          </w:tcPr>
          <w:p>
            <w:r>
              <w:rPr>
                <w:rFonts w:ascii="Calibri" w:hAnsi="Calibri"/>
                <w:sz w:val="22"/>
              </w:rPr>
              <w:t>+0.8%</w:t>
            </w:r>
          </w:p>
        </w:tc>
        <w:tc>
          <w:tcPr>
            <w:tcW w:type="dxa" w:w="1080"/>
          </w:tcPr>
          <w:p>
            <w:r>
              <w:rPr>
                <w:rFonts w:ascii="Calibri" w:hAnsi="Calibri"/>
                <w:sz w:val="22"/>
              </w:rPr>
              <w:t>$0.86</w:t>
            </w:r>
          </w:p>
        </w:tc>
        <w:tc>
          <w:tcPr>
            <w:tcW w:type="dxa" w:w="1080"/>
          </w:tcPr>
          <w:p>
            <w:r>
              <w:rPr>
                <w:rFonts w:ascii="Calibri" w:hAnsi="Calibri"/>
                <w:sz w:val="22"/>
              </w:rPr>
              <w:t>$0.86 (unchanged)</w:t>
            </w:r>
          </w:p>
        </w:tc>
        <w:tc>
          <w:tcPr>
            <w:tcW w:type="dxa" w:w="1080"/>
          </w:tcPr>
          <w:p>
            <w:r>
              <w:rPr>
                <w:rFonts w:ascii="Calibri" w:hAnsi="Calibri"/>
                <w:sz w:val="22"/>
              </w:rPr>
              <w:t>—</w:t>
            </w:r>
          </w:p>
        </w:tc>
        <w:tc>
          <w:tcPr>
            <w:tcW w:type="dxa" w:w="1080"/>
          </w:tcPr>
          <w:p>
            <w:r>
              <w:rPr>
                <w:rFonts w:ascii="Calibri" w:hAnsi="Calibri"/>
                <w:sz w:val="22"/>
              </w:rPr>
              <w:t>+0.9%</w:t>
            </w:r>
          </w:p>
        </w:tc>
      </w:tr>
      <w:tr>
        <w:tc>
          <w:tcPr>
            <w:tcW w:type="dxa" w:w="1080"/>
          </w:tcPr>
          <w:p>
            <w:r>
              <w:rPr>
                <w:rFonts w:ascii="Calibri" w:hAnsi="Calibri"/>
                <w:sz w:val="22"/>
              </w:rPr>
              <w:t>Cash App MTACs (Q2 2026)</w:t>
            </w:r>
          </w:p>
        </w:tc>
        <w:tc>
          <w:tcPr>
            <w:tcW w:type="dxa" w:w="1080"/>
          </w:tcPr>
          <w:p>
            <w:r>
              <w:rPr>
                <w:rFonts w:ascii="Calibri" w:hAnsi="Calibri"/>
                <w:sz w:val="22"/>
              </w:rPr>
              <w:t>59.16M</w:t>
            </w:r>
          </w:p>
        </w:tc>
        <w:tc>
          <w:tcPr>
            <w:tcW w:type="dxa" w:w="1080"/>
          </w:tcPr>
          <w:p>
            <w:r>
              <w:rPr>
                <w:rFonts w:ascii="Calibri" w:hAnsi="Calibri"/>
                <w:sz w:val="22"/>
              </w:rPr>
              <w:t>59.08M</w:t>
            </w:r>
          </w:p>
        </w:tc>
        <w:tc>
          <w:tcPr>
            <w:tcW w:type="dxa" w:w="1080"/>
          </w:tcPr>
          <w:p>
            <w:r>
              <w:rPr>
                <w:rFonts w:ascii="Calibri" w:hAnsi="Calibri"/>
                <w:sz w:val="22"/>
              </w:rPr>
              <w:t>-0.1%</w:t>
            </w:r>
          </w:p>
        </w:tc>
        <w:tc>
          <w:tcPr>
            <w:tcW w:type="dxa" w:w="1080"/>
          </w:tcPr>
          <w:p>
            <w:r>
              <w:rPr>
                <w:rFonts w:ascii="Calibri" w:hAnsi="Calibri"/>
                <w:sz w:val="22"/>
              </w:rPr>
              <w:t>Low single-digit YoY growth; slight seasonal seq. decline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w:t>
            </w:r>
          </w:p>
        </w:tc>
      </w:tr>
      <w:tr>
        <w:tc>
          <w:tcPr>
            <w:tcW w:type="dxa" w:w="1080"/>
          </w:tcPr>
          <w:p>
            <w:r>
              <w:rPr>
                <w:rFonts w:ascii="Calibri" w:hAnsi="Calibri"/>
                <w:sz w:val="22"/>
              </w:rPr>
              <w:t>Square GPV (Q2 2026)</w:t>
            </w:r>
          </w:p>
        </w:tc>
        <w:tc>
          <w:tcPr>
            <w:tcW w:type="dxa" w:w="1080"/>
          </w:tcPr>
          <w:p>
            <w:r>
              <w:rPr>
                <w:rFonts w:ascii="Calibri" w:hAnsi="Calibri"/>
                <w:sz w:val="22"/>
              </w:rPr>
              <w:t>$71.75B</w:t>
            </w:r>
          </w:p>
        </w:tc>
        <w:tc>
          <w:tcPr>
            <w:tcW w:type="dxa" w:w="1080"/>
          </w:tcPr>
          <w:p>
            <w:r>
              <w:rPr>
                <w:rFonts w:ascii="Calibri" w:hAnsi="Calibri"/>
                <w:sz w:val="22"/>
              </w:rPr>
              <w:t>$71.81B</w:t>
            </w:r>
          </w:p>
        </w:tc>
        <w:tc>
          <w:tcPr>
            <w:tcW w:type="dxa" w:w="1080"/>
          </w:tcPr>
          <w:p>
            <w:r>
              <w:rPr>
                <w:rFonts w:ascii="Calibri" w:hAnsi="Calibri"/>
                <w:sz w:val="22"/>
              </w:rPr>
              <w:t>+0.1%</w:t>
            </w:r>
          </w:p>
        </w:tc>
        <w:tc>
          <w:tcPr>
            <w:tcW w:type="dxa" w:w="1080"/>
          </w:tcPr>
          <w:p>
            <w:r>
              <w:rPr>
                <w:rFonts w:ascii="Calibri" w:hAnsi="Calibri"/>
                <w:sz w:val="22"/>
              </w:rPr>
              <w:t>Accelerate vs. 2025; April CC +12%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w:t>
            </w:r>
          </w:p>
        </w:tc>
      </w:tr>
      <w:tr>
        <w:tc>
          <w:tcPr>
            <w:tcW w:type="dxa" w:w="1080"/>
          </w:tcPr>
          <w:p>
            <w:r>
              <w:rPr>
                <w:rFonts w:ascii="Calibri" w:hAnsi="Calibri"/>
                <w:sz w:val="22"/>
              </w:rPr>
              <w:t>Gross Profit (FY2026)</w:t>
            </w:r>
          </w:p>
        </w:tc>
        <w:tc>
          <w:tcPr>
            <w:tcW w:type="dxa" w:w="1080"/>
          </w:tcPr>
          <w:p>
            <w:r>
              <w:rPr>
                <w:rFonts w:ascii="Calibri" w:hAnsi="Calibri"/>
                <w:sz w:val="22"/>
              </w:rPr>
              <w:t>$12.362B</w:t>
            </w:r>
          </w:p>
        </w:tc>
        <w:tc>
          <w:tcPr>
            <w:tcW w:type="dxa" w:w="1080"/>
          </w:tcPr>
          <w:p>
            <w:r>
              <w:rPr>
                <w:rFonts w:ascii="Calibri" w:hAnsi="Calibri"/>
                <w:sz w:val="22"/>
              </w:rPr>
              <w:t>$12.379B</w:t>
            </w:r>
          </w:p>
        </w:tc>
        <w:tc>
          <w:tcPr>
            <w:tcW w:type="dxa" w:w="1080"/>
          </w:tcPr>
          <w:p>
            <w:r>
              <w:rPr>
                <w:rFonts w:ascii="Calibri" w:hAnsi="Calibri"/>
                <w:sz w:val="22"/>
              </w:rPr>
              <w:t>+0.1%</w:t>
            </w:r>
          </w:p>
        </w:tc>
        <w:tc>
          <w:tcPr>
            <w:tcW w:type="dxa" w:w="1080"/>
          </w:tcPr>
          <w:p>
            <w:r>
              <w:rPr>
                <w:rFonts w:ascii="Calibri" w:hAnsi="Calibri"/>
                <w:sz w:val="22"/>
              </w:rPr>
              <w:t>$12.33B (+19% YoY)</w:t>
            </w:r>
          </w:p>
        </w:tc>
        <w:tc>
          <w:tcPr>
            <w:tcW w:type="dxa" w:w="1080"/>
          </w:tcPr>
          <w:p>
            <w:r>
              <w:rPr>
                <w:rFonts w:ascii="Calibri" w:hAnsi="Calibri"/>
                <w:sz w:val="22"/>
              </w:rPr>
              <w:t>$12.33B (unchanged)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Adj. Diluted EPS (FY2026)</w:t>
            </w:r>
          </w:p>
        </w:tc>
        <w:tc>
          <w:tcPr>
            <w:tcW w:type="dxa" w:w="1080"/>
          </w:tcPr>
          <w:p>
            <w:r>
              <w:rPr>
                <w:rFonts w:ascii="Calibri" w:hAnsi="Calibri"/>
                <w:sz w:val="22"/>
              </w:rPr>
              <w:t>$3.881</w:t>
            </w:r>
          </w:p>
        </w:tc>
        <w:tc>
          <w:tcPr>
            <w:tcW w:type="dxa" w:w="1080"/>
          </w:tcPr>
          <w:p>
            <w:r>
              <w:rPr>
                <w:rFonts w:ascii="Calibri" w:hAnsi="Calibri"/>
                <w:sz w:val="22"/>
              </w:rPr>
              <w:t>$3.904</w:t>
            </w:r>
          </w:p>
        </w:tc>
        <w:tc>
          <w:tcPr>
            <w:tcW w:type="dxa" w:w="1080"/>
          </w:tcPr>
          <w:p>
            <w:r>
              <w:rPr>
                <w:rFonts w:ascii="Calibri" w:hAnsi="Calibri"/>
                <w:sz w:val="22"/>
              </w:rPr>
              <w:t>+0.6%</w:t>
            </w:r>
          </w:p>
        </w:tc>
        <w:tc>
          <w:tcPr>
            <w:tcW w:type="dxa" w:w="1080"/>
          </w:tcPr>
          <w:p>
            <w:r>
              <w:rPr>
                <w:rFonts w:ascii="Calibri" w:hAnsi="Calibri"/>
                <w:sz w:val="22"/>
              </w:rPr>
              <w:t>$3.85 (+62% YoY)</w:t>
            </w:r>
          </w:p>
        </w:tc>
        <w:tc>
          <w:tcPr>
            <w:tcW w:type="dxa" w:w="1080"/>
          </w:tcPr>
          <w:p>
            <w:r>
              <w:rPr>
                <w:rFonts w:ascii="Calibri" w:hAnsi="Calibri"/>
                <w:sz w:val="22"/>
              </w:rPr>
              <w:t>$3.85 (unchanged)</w:t>
            </w:r>
          </w:p>
        </w:tc>
        <w:tc>
          <w:tcPr>
            <w:tcW w:type="dxa" w:w="1080"/>
          </w:tcPr>
          <w:p>
            <w:r>
              <w:rPr>
                <w:rFonts w:ascii="Calibri" w:hAnsi="Calibri"/>
                <w:sz w:val="22"/>
              </w:rPr>
              <w:t>—</w:t>
            </w:r>
          </w:p>
        </w:tc>
        <w:tc>
          <w:tcPr>
            <w:tcW w:type="dxa" w:w="1080"/>
          </w:tcPr>
          <w:p>
            <w:r>
              <w:rPr>
                <w:rFonts w:ascii="Calibri" w:hAnsi="Calibri"/>
                <w:sz w:val="22"/>
              </w:rPr>
              <w:t>+1.4%</w:t>
            </w:r>
          </w:p>
        </w:tc>
      </w:tr>
    </w:tbl>
    <w:p>
      <w:r>
        <w:rPr>
          <w:rFonts w:ascii="Calibri" w:hAnsi="Calibri"/>
          <w:color w:val="525866"/>
          <w:sz w:val="22"/>
        </w:rPr>
        <w:t>Source: Visible Alpha Consensus and Actuals Data (as-of date 5/12/2026 for post-earnings baseline; latest as of 8/4/2026 for current consensus). Guidance from Q1 2026 Earnings Call (May 7, 2026). Estimates have been remarkably stable since the Q1 print, with consensus tracking guidance tightly across all key metrics — the absence of meaningful upward or downward revision since May 12 suggests the street is comfortable with management's framework and is waiting for the Q2 print to re-rate.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XYZ has outperformed meaningfully since Q1 earnings — up </w:t>
      </w:r>
    </w:p>
    <w:p>
      <w:r>
        <w:rPr>
          <w:rFonts w:ascii="Calibri" w:hAnsi="Calibri"/>
          <w:b/>
          <w:color w:val="525866"/>
          <w:sz w:val="22"/>
        </w:rPr>
        <w:t>+20.7% vs. IPAY ETF +10.0% and S&amp;P 500 +5.4%</w:t>
      </w:r>
      <w:r>
        <w:rPr>
          <w:rFonts w:ascii="Calibri" w:hAnsi="Calibri"/>
          <w:color w:val="525866"/>
          <w:sz w:val="22"/>
        </w:rPr>
        <w:t xml:space="preserve"> — driven primarily by multiple re-rating on the back of the beat-and-raise and AI transformation narrative, with the stock still trading at a discount to historical averages, suggesting the re-rating has further room to run if Q2 execution holds.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XYZ vs. IPAY ETF vs. S&amp;P 500 — Indexed to 100 at Q1 2026 Earnings Date (May 7, 2026). Source: Stock Price Data.</w:t>
      </w:r>
    </w:p>
    <w:p>
      <w:r>
        <w:rPr>
          <w:rFonts w:ascii="Calibri" w:hAnsi="Calibri"/>
          <w:color w:val="525866"/>
          <w:sz w:val="22"/>
        </w:rPr>
        <w:t>Performance Summary (May 7 – August 5, 2026):</w:t>
      </w:r>
    </w:p>
    <w:p>
      <w:pPr>
        <w:pStyle w:val="ListBullet"/>
        <w:ind w:left="360" w:hanging="360"/>
      </w:pPr>
      <w:r>
        <w:rPr>
          <w:rFonts w:ascii="Calibri" w:hAnsi="Calibri"/>
          <w:b/>
          <w:color w:val="525866"/>
          <w:sz w:val="22"/>
        </w:rPr>
        <w:t xml:space="preserve">XYZ (Block): </w:t>
      </w:r>
      <w:r>
        <w:rPr>
          <w:rFonts w:ascii="Calibri" w:hAnsi="Calibri"/>
          <w:color w:val="525866"/>
          <w:sz w:val="22"/>
        </w:rPr>
        <w:t>+20.7% ($70.14 → $84.64). Strong outperformance driven by the Q1 beat-and-raise, AI transformation narrative, and Neighborhoods inflection signal.</w:t>
      </w:r>
    </w:p>
    <w:p>
      <w:pPr>
        <w:pStyle w:val="ListBullet"/>
        <w:ind w:left="360" w:hanging="360"/>
      </w:pPr>
      <w:r>
        <w:rPr>
          <w:rFonts w:ascii="Calibri" w:hAnsi="Calibri"/>
          <w:b/>
          <w:color w:val="525866"/>
          <w:sz w:val="22"/>
        </w:rPr>
        <w:t xml:space="preserve">IPAY ETF (Digital Payments): </w:t>
      </w:r>
      <w:r>
        <w:rPr>
          <w:rFonts w:ascii="Calibri" w:hAnsi="Calibri"/>
          <w:color w:val="525866"/>
          <w:sz w:val="22"/>
        </w:rPr>
        <w:t>+10.0% ($46.99 → $51.68). Sector tailwind from strong consumer spending data (Visa, Mastercard) and BNPL growth (Affirm, PayPal).</w:t>
      </w:r>
    </w:p>
    <w:p>
      <w:pPr>
        <w:pStyle w:val="ListBullet"/>
        <w:ind w:left="360" w:hanging="360"/>
      </w:pPr>
      <w:r>
        <w:rPr>
          <w:rFonts w:ascii="Calibri" w:hAnsi="Calibri"/>
          <w:b/>
          <w:color w:val="525866"/>
          <w:sz w:val="22"/>
        </w:rPr>
        <w:t xml:space="preserve">S&amp;P 500 (SPY): </w:t>
      </w:r>
      <w:r>
        <w:rPr>
          <w:rFonts w:ascii="Calibri" w:hAnsi="Calibri"/>
          <w:color w:val="525866"/>
          <w:sz w:val="22"/>
        </w:rPr>
        <w:t>+5.4% ($731.58 → $771.33). Broad market support from resilient macro data.</w:t>
      </w:r>
    </w:p>
    <w:p>
      <w:r>
        <w:rPr>
          <w:rFonts w:ascii="Calibri" w:hAnsi="Calibri"/>
          <w:color w:val="525866"/>
          <w:sz w:val="22"/>
        </w:rPr>
        <w:t>Key Events Since Q1 Earnings:</w:t>
      </w:r>
    </w:p>
    <w:p>
      <w:pPr>
        <w:pStyle w:val="ListBullet"/>
        <w:ind w:left="360" w:hanging="360"/>
      </w:pPr>
      <w:r>
        <w:rPr>
          <w:rFonts w:ascii="Calibri" w:hAnsi="Calibri"/>
          <w:b/>
          <w:color w:val="525866"/>
          <w:sz w:val="22"/>
        </w:rPr>
        <w:t xml:space="preserve">May 7, 2026: </w:t>
      </w:r>
      <w:r>
        <w:rPr>
          <w:rFonts w:ascii="Calibri" w:hAnsi="Calibri"/>
          <w:color w:val="525866"/>
          <w:sz w:val="22"/>
        </w:rPr>
        <w:t>Q1 2026 earnings beat — stock gapped up ~7% in after-hours. Gross profit, adj. operating income, and adj. EPS all beat; full-year guidance raised above prior consensus.</w:t>
      </w:r>
    </w:p>
    <w:p>
      <w:pPr>
        <w:pStyle w:val="ListBullet"/>
        <w:ind w:left="360" w:hanging="360"/>
      </w:pPr>
      <w:r>
        <w:rPr>
          <w:rFonts w:ascii="Calibri" w:hAnsi="Calibri"/>
          <w:b/>
          <w:color w:val="525866"/>
          <w:sz w:val="22"/>
        </w:rPr>
        <w:t xml:space="preserve">May–June 2026: </w:t>
      </w:r>
      <w:r>
        <w:rPr>
          <w:rFonts w:ascii="Calibri" w:hAnsi="Calibri"/>
          <w:color w:val="525866"/>
          <w:sz w:val="22"/>
        </w:rPr>
        <w:t>Stock pulled back ~10% from post-earnings highs amid broader market volatility and sector rotation, before recovering in late June.</w:t>
      </w:r>
    </w:p>
    <w:p>
      <w:pPr>
        <w:pStyle w:val="ListBullet"/>
        <w:ind w:left="360" w:hanging="360"/>
      </w:pPr>
      <w:r>
        <w:rPr>
          <w:rFonts w:ascii="Calibri" w:hAnsi="Calibri"/>
          <w:b/>
          <w:color w:val="525866"/>
          <w:sz w:val="22"/>
        </w:rPr>
        <w:t xml:space="preserve">Late June – August 2026: </w:t>
      </w:r>
      <w:r>
        <w:rPr>
          <w:rFonts w:ascii="Calibri" w:hAnsi="Calibri"/>
          <w:color w:val="525866"/>
          <w:sz w:val="22"/>
        </w:rPr>
        <w:t>Steady re-rating as sector peers (Visa, Mastercard, PayPal, Robinhood) reported strong Q2 results, validating the consumer spending and digital payments backdrop for Block's Q2 print.</w:t>
      </w:r>
    </w:p>
    <w:p>
      <w:r>
        <w:br w:type="page"/>
      </w:r>
    </w:p>
    <w:p>
      <w:pPr>
        <w:pStyle w:val="Heading2"/>
      </w:pPr>
      <w:r>
        <w:rPr>
          <w:rFonts w:ascii="Calibri" w:hAnsi="Calibri"/>
          <w:b/>
          <w:color w:val="3B4259"/>
          <w:sz w:val="28"/>
        </w:rPr>
        <w:t>6. Peer Commentaries — Read-Through for XYZ Q2 2026</w:t>
      </w:r>
    </w:p>
    <w:p>
      <w:r>
        <w:rPr>
          <w:rFonts w:ascii="Calibri" w:hAnsi="Calibri"/>
          <w:b/>
          <w:color w:val="525866"/>
          <w:sz w:val="22"/>
        </w:rPr>
        <w:t xml:space="preserve">Key Takeaway: </w:t>
      </w:r>
      <w:r>
        <w:rPr>
          <w:rFonts w:ascii="Calibri" w:hAnsi="Calibri"/>
          <w:color w:val="525866"/>
          <w:sz w:val="22"/>
        </w:rPr>
        <w:t xml:space="preserve">Peer commentary from Q2 2026 reporting is broadly constructive for Block — consumer spending is resilient and broad-based (Visa, Mastercard), BNPL is accelerating across the ecosystem (PayPal, Affirm), digital payments volumes are growing at double-digit rates, and fintech platforms are seeing record engagement (Robinhood). The read-through is </w:t>
      </w:r>
    </w:p>
    <w:p>
      <w:r>
        <w:rPr>
          <w:rFonts w:ascii="Calibri" w:hAnsi="Calibri"/>
          <w:b/>
          <w:color w:val="525866"/>
          <w:sz w:val="22"/>
        </w:rPr>
        <w:t>net positive for both Cash App and Square</w:t>
      </w:r>
      <w:r>
        <w:rPr>
          <w:rFonts w:ascii="Calibri" w:hAnsi="Calibri"/>
          <w:color w:val="525866"/>
          <w:sz w:val="22"/>
        </w:rPr>
        <w:t>, with the primary risk being whether Block can capture its share of the BNPL and consumer lending growth given Borrow normalization headwinds.</w:t>
      </w:r>
    </w:p>
    <w:p>
      <w:r>
        <w:rPr>
          <w:rFonts w:ascii="Calibri" w:hAnsi="Calibri"/>
          <w:color w:val="525866"/>
          <w:sz w:val="22"/>
        </w:rPr>
        <w:t>Note: Only commentary from peers reporting on calendar Q2 2026 activity is included below. Affirm's Q3 FY2026 earnings (Jan–Mar 2026 quarter) are excluded; Affirm's May 2026 Investor Forum commentary about Q2 2026 trends is included.</w:t>
      </w:r>
    </w:p>
    <w:p>
      <w:pPr>
        <w:pStyle w:val="Heading3"/>
      </w:pPr>
      <w:r>
        <w:rPr>
          <w:rFonts w:ascii="Calibri" w:hAnsi="Calibri"/>
          <w:b/>
          <w:color w:val="3B4259"/>
          <w:sz w:val="24"/>
        </w:rPr>
        <w:t>6.1 Visa (V) — Fiscal Q3 2026 (Calendar Q2 2026, reported July 28, 2026)</w:t>
      </w:r>
    </w:p>
    <w:p>
      <w:r>
        <w:rPr>
          <w:rFonts w:ascii="Calibri" w:hAnsi="Calibri"/>
          <w:b/>
          <w:color w:val="525866"/>
          <w:sz w:val="22"/>
        </w:rPr>
        <w:t xml:space="preserve">Key Takeaway: </w:t>
      </w:r>
      <w:r>
        <w:rPr>
          <w:rFonts w:ascii="Calibri" w:hAnsi="Calibri"/>
          <w:color w:val="525866"/>
          <w:sz w:val="22"/>
        </w:rPr>
        <w:t>Visa reported its strongest U.S. payment volume growth since fiscal 2019 (+10% YoY), with broad-based strength across credit, debit, discretionary, and non-discretionary spend — a strong macro read-through for Square GPV and Cash App inflows in Q2 2026.</w:t>
      </w:r>
    </w:p>
    <w:p>
      <w:pPr>
        <w:pStyle w:val="ListBullet"/>
        <w:ind w:left="360" w:hanging="360"/>
      </w:pPr>
      <w:r>
        <w:rPr>
          <w:rFonts w:ascii="Calibri" w:hAnsi="Calibri"/>
          <w:b/>
          <w:color w:val="525866"/>
          <w:sz w:val="22"/>
        </w:rPr>
        <w:t xml:space="preserve">Consumer spending resilient and broad-based: </w:t>
      </w:r>
      <w:r>
        <w:rPr>
          <w:rFonts w:ascii="Calibri" w:hAnsi="Calibri"/>
          <w:color w:val="525866"/>
          <w:sz w:val="22"/>
        </w:rPr>
        <w:t>Visa's U.S. payments volume grew 10% YoY in Q2 (calendar), up ~2pts from Q1, with strength across credit (+11%), debit (+9%), discretionary and non-discretionary, and all spend bands. Management noted "no signs of the lower spend consumer weakening in our volumes" — a direct positive read-through for Cash App's lower-to-middle income customer base and Square's SMB merchant base.</w:t>
      </w:r>
    </w:p>
    <w:p>
      <w:pPr>
        <w:pStyle w:val="ListBullet"/>
        <w:ind w:left="360" w:hanging="360"/>
      </w:pPr>
      <w:r>
        <w:rPr>
          <w:rFonts w:ascii="Calibri" w:hAnsi="Calibri"/>
          <w:b/>
          <w:color w:val="525866"/>
          <w:sz w:val="22"/>
        </w:rPr>
        <w:t xml:space="preserve">Cross-border and international volumes accelerating: </w:t>
      </w:r>
      <w:r>
        <w:rPr>
          <w:rFonts w:ascii="Calibri" w:hAnsi="Calibri"/>
          <w:color w:val="525866"/>
          <w:sz w:val="22"/>
        </w:rPr>
        <w:t>Cross-border volume ex-intra-Europe grew 12% YoY (up 1pt from Q1), with e-commerce cross-border up 16%. International GPV acceleration is a direct read-through for Square's international segment, which grew 35% YoY (26% CC) in Q1 2026.</w:t>
      </w:r>
    </w:p>
    <w:p>
      <w:pPr>
        <w:pStyle w:val="ListBullet"/>
        <w:ind w:left="360" w:hanging="360"/>
      </w:pPr>
      <w:r>
        <w:rPr>
          <w:rFonts w:ascii="Calibri" w:hAnsi="Calibri"/>
          <w:b/>
          <w:color w:val="525866"/>
          <w:sz w:val="22"/>
        </w:rPr>
        <w:t xml:space="preserve">Digital payments infrastructure investment: </w:t>
      </w:r>
      <w:r>
        <w:rPr>
          <w:rFonts w:ascii="Calibri" w:hAnsi="Calibri"/>
          <w:color w:val="525866"/>
          <w:sz w:val="22"/>
        </w:rPr>
        <w:t>Visa's tokenized penetration is nearing 60% of e-commerce transactions globally, and Value Added Services revenue grew 34% YoY. Agentic commerce partnerships (OpenAI, Meta) signal the broader industry is investing in the same AI-native payments infrastructure Block is building with Moneybot and Managerbot.</w:t>
      </w:r>
    </w:p>
    <w:p>
      <w:pPr>
        <w:pStyle w:val="ListBullet"/>
        <w:ind w:left="360" w:hanging="360"/>
      </w:pPr>
      <w:r>
        <w:rPr>
          <w:rFonts w:ascii="Calibri" w:hAnsi="Calibri"/>
          <w:b/>
          <w:color w:val="525866"/>
          <w:sz w:val="22"/>
        </w:rPr>
        <w:t xml:space="preserve">FIFA World Cup tailwind: </w:t>
      </w:r>
      <w:r>
        <w:rPr>
          <w:rFonts w:ascii="Calibri" w:hAnsi="Calibri"/>
          <w:color w:val="525866"/>
          <w:sz w:val="22"/>
        </w:rPr>
        <w:t>Card-present transactions were up as much as 20% in U.S. host cities on match days, with tap-to-pay transit transactions up nearly 40% YoY in host cities. This is a modest positive for Square's food &amp; beverage and retail merchants in host markets.</w:t>
      </w:r>
    </w:p>
    <w:p>
      <w:pPr>
        <w:pStyle w:val="ListBullet"/>
        <w:ind w:left="360" w:hanging="360"/>
      </w:pPr>
      <w:r>
        <w:rPr>
          <w:rFonts w:ascii="Calibri" w:hAnsi="Calibri"/>
          <w:b/>
          <w:color w:val="525866"/>
          <w:sz w:val="22"/>
        </w:rPr>
        <w:t xml:space="preserve">Q3 FY2026 (calendar Q3) guidance: </w:t>
      </w:r>
      <w:r>
        <w:rPr>
          <w:rFonts w:ascii="Calibri" w:hAnsi="Calibri"/>
          <w:color w:val="525866"/>
          <w:sz w:val="22"/>
        </w:rPr>
        <w:t>Visa guided to net revenue growth at the high end of low double digits, assuming continued consumer spend stability — no macro deterioration signal heading into Block's Q2 print.</w:t>
      </w:r>
    </w:p>
    <w:p>
      <w:pPr>
        <w:pStyle w:val="Heading3"/>
      </w:pPr>
      <w:r>
        <w:rPr>
          <w:rFonts w:ascii="Calibri" w:hAnsi="Calibri"/>
          <w:b/>
          <w:color w:val="3B4259"/>
          <w:sz w:val="24"/>
        </w:rPr>
        <w:t>6.2 Mastercard (MA) — Q2 2026 (Calendar Q2 2026, reported July 30, 2026)</w:t>
      </w:r>
    </w:p>
    <w:p>
      <w:r>
        <w:rPr>
          <w:rFonts w:ascii="Calibri" w:hAnsi="Calibri"/>
          <w:b/>
          <w:color w:val="525866"/>
          <w:sz w:val="22"/>
        </w:rPr>
        <w:t xml:space="preserve">Key Takeaway: </w:t>
      </w:r>
      <w:r>
        <w:rPr>
          <w:rFonts w:ascii="Calibri" w:hAnsi="Calibri"/>
          <w:color w:val="525866"/>
          <w:sz w:val="22"/>
        </w:rPr>
        <w:t>Mastercard's Q2 results confirm the Visa read-through — consumer and business spending is healthy, cross-border is accelerating, and the macro backdrop is supportive. Switched transactions grew 9% YoY and GDV grew 8% globally, with U.S. credit up 10%.</w:t>
      </w:r>
    </w:p>
    <w:p>
      <w:pPr>
        <w:pStyle w:val="ListBullet"/>
        <w:ind w:left="360" w:hanging="360"/>
      </w:pPr>
      <w:r>
        <w:rPr>
          <w:rFonts w:ascii="Calibri" w:hAnsi="Calibri"/>
          <w:b/>
          <w:color w:val="525866"/>
          <w:sz w:val="22"/>
        </w:rPr>
        <w:t xml:space="preserve">Macro environment remains supportive: </w:t>
      </w:r>
      <w:r>
        <w:rPr>
          <w:rFonts w:ascii="Calibri" w:hAnsi="Calibri"/>
          <w:color w:val="525866"/>
          <w:sz w:val="22"/>
        </w:rPr>
        <w:t>Management described the macro as "supportive" with "consumers and businesses healthy and continuing to spend," underpinned by positive job growth, low unemployment, and real purchasing power. Both mass and affluent segments are holding up, with higher growth in affluent — consistent with Square's mid-market acceleration (+22% GPV YoY in Q1 2026).</w:t>
      </w:r>
    </w:p>
    <w:p>
      <w:pPr>
        <w:pStyle w:val="ListBullet"/>
        <w:ind w:left="360" w:hanging="360"/>
      </w:pPr>
      <w:r>
        <w:rPr>
          <w:rFonts w:ascii="Calibri" w:hAnsi="Calibri"/>
          <w:b/>
          <w:color w:val="525866"/>
          <w:sz w:val="22"/>
        </w:rPr>
        <w:t xml:space="preserve">U.S. spending acceleration: </w:t>
      </w:r>
      <w:r>
        <w:rPr>
          <w:rFonts w:ascii="Calibri" w:hAnsi="Calibri"/>
          <w:color w:val="525866"/>
          <w:sz w:val="22"/>
        </w:rPr>
        <w:t>U.S. switched volume growth was 10% on a like-for-like basis (ex-Capital One debit migration), up 2pts sequentially, driven by higher fuel spend and strong consumer/business activity. This is a direct positive for Square GPV in Q2.</w:t>
      </w:r>
    </w:p>
    <w:p>
      <w:pPr>
        <w:pStyle w:val="ListBullet"/>
        <w:ind w:left="360" w:hanging="360"/>
      </w:pPr>
      <w:r>
        <w:rPr>
          <w:rFonts w:ascii="Calibri" w:hAnsi="Calibri"/>
          <w:b/>
          <w:color w:val="525866"/>
          <w:sz w:val="22"/>
        </w:rPr>
        <w:t xml:space="preserve">Cross-border card-not-present ex-travel at 20%: </w:t>
      </w:r>
      <w:r>
        <w:rPr>
          <w:rFonts w:ascii="Calibri" w:hAnsi="Calibri"/>
          <w:color w:val="525866"/>
          <w:sz w:val="22"/>
        </w:rPr>
        <w:t>Strong e-commerce cross-border growth validates the digital payments tailwind for Cash App's commerce enablement segment and Square's international GPV.</w:t>
      </w:r>
    </w:p>
    <w:p>
      <w:pPr>
        <w:pStyle w:val="ListBullet"/>
        <w:ind w:left="360" w:hanging="360"/>
      </w:pPr>
      <w:r>
        <w:rPr>
          <w:rFonts w:ascii="Calibri" w:hAnsi="Calibri"/>
          <w:b/>
          <w:color w:val="525866"/>
          <w:sz w:val="22"/>
        </w:rPr>
        <w:t xml:space="preserve">Value-added services growing 18% YoY: </w:t>
      </w:r>
      <w:r>
        <w:rPr>
          <w:rFonts w:ascii="Calibri" w:hAnsi="Calibri"/>
          <w:color w:val="525866"/>
          <w:sz w:val="22"/>
        </w:rPr>
        <w:t>Mastercard's VAS growth (security, identity, analytics) signals strong demand for embedded financial services — consistent with Block's financial solutions gross profit growth thesis.</w:t>
      </w:r>
    </w:p>
    <w:p>
      <w:pPr>
        <w:pStyle w:val="ListBullet"/>
        <w:ind w:left="360" w:hanging="360"/>
      </w:pPr>
      <w:r>
        <w:rPr>
          <w:rFonts w:ascii="Calibri" w:hAnsi="Calibri"/>
          <w:b/>
          <w:color w:val="525866"/>
          <w:sz w:val="22"/>
        </w:rPr>
        <w:t xml:space="preserve">H2 2026 base case: spending remains healthy: </w:t>
      </w:r>
      <w:r>
        <w:rPr>
          <w:rFonts w:ascii="Calibri" w:hAnsi="Calibri"/>
          <w:color w:val="525866"/>
          <w:sz w:val="22"/>
        </w:rPr>
        <w:t>Management's H2 base case assumes spending remains healthy, with Middle East conflict impacts moderating. No macro deterioration signal for Block's Q2 or H2 outlook.</w:t>
      </w:r>
    </w:p>
    <w:p>
      <w:pPr>
        <w:pStyle w:val="Heading3"/>
      </w:pPr>
      <w:r>
        <w:rPr>
          <w:rFonts w:ascii="Calibri" w:hAnsi="Calibri"/>
          <w:b/>
          <w:color w:val="3B4259"/>
          <w:sz w:val="24"/>
        </w:rPr>
        <w:t>6.3 PayPal (PYPL) — Q2 2026 (Calendar Q2 2026, reported July 28, 2026)</w:t>
      </w:r>
    </w:p>
    <w:p>
      <w:r>
        <w:rPr>
          <w:rFonts w:ascii="Calibri" w:hAnsi="Calibri"/>
          <w:b/>
          <w:color w:val="525866"/>
          <w:sz w:val="22"/>
        </w:rPr>
        <w:t xml:space="preserve">Key Takeaway: </w:t>
      </w:r>
      <w:r>
        <w:rPr>
          <w:rFonts w:ascii="Calibri" w:hAnsi="Calibri"/>
          <w:color w:val="525866"/>
          <w:sz w:val="22"/>
        </w:rPr>
        <w:t>PayPal's Q2 results are the most direct read-through for Block — BNPL grew 26% YoY, Venmo TPV grew 14% (7th consecutive quarter of double-digit growth), and total payment volume accelerated to 9% currency-neutral growth. The BNPL and P2P momentum is a direct positive for Cash App's Afterpay and peer-to-peer BNPL expansion.</w:t>
      </w:r>
    </w:p>
    <w:p>
      <w:pPr>
        <w:pStyle w:val="ListBullet"/>
        <w:ind w:left="360" w:hanging="360"/>
      </w:pPr>
      <w:r>
        <w:rPr>
          <w:rFonts w:ascii="Calibri" w:hAnsi="Calibri"/>
          <w:b/>
          <w:color w:val="525866"/>
          <w:sz w:val="22"/>
        </w:rPr>
        <w:t xml:space="preserve">BNPL growing 26% YoY — direct read-through for Afterpay: </w:t>
      </w:r>
      <w:r>
        <w:rPr>
          <w:rFonts w:ascii="Calibri" w:hAnsi="Calibri"/>
          <w:color w:val="525866"/>
          <w:sz w:val="22"/>
        </w:rPr>
        <w:t>PayPal's BNPL volume grew 26% YoY, driven by geographic expansion (8 markets), merchant integration, and upstream presentment. This validates the BNPL demand environment for Block's Afterpay Pre-Purchase (launched Q1 2026) and Afterpay Post-Purchase, both of which management described as growing faster than Borrow at comparable stages.</w:t>
      </w:r>
    </w:p>
    <w:p>
      <w:pPr>
        <w:pStyle w:val="ListBullet"/>
        <w:ind w:left="360" w:hanging="360"/>
      </w:pPr>
      <w:r>
        <w:rPr>
          <w:rFonts w:ascii="Calibri" w:hAnsi="Calibri"/>
          <w:b/>
          <w:color w:val="525866"/>
          <w:sz w:val="22"/>
        </w:rPr>
        <w:t xml:space="preserve">Venmo P2P and consumer volume healthy: </w:t>
      </w:r>
      <w:r>
        <w:rPr>
          <w:rFonts w:ascii="Calibri" w:hAnsi="Calibri"/>
          <w:color w:val="525866"/>
          <w:sz w:val="22"/>
        </w:rPr>
        <w:t>Venmo TPV grew 14% YoY (7th consecutive quarter of double-digit growth), with P2P and other consumer volume up 10%. Pay with Venmo grew 44% YoY. This is a direct read-through for Cash App's peer-to-peer transaction volume and BNPL-to-P2P expansion launched in Q1 2026.</w:t>
      </w:r>
    </w:p>
    <w:p>
      <w:pPr>
        <w:pStyle w:val="ListBullet"/>
        <w:ind w:left="360" w:hanging="360"/>
      </w:pPr>
      <w:r>
        <w:rPr>
          <w:rFonts w:ascii="Calibri" w:hAnsi="Calibri"/>
          <w:b/>
          <w:color w:val="525866"/>
          <w:sz w:val="22"/>
        </w:rPr>
        <w:t xml:space="preserve">Branded checkout stabilizing at low single-digit growth: </w:t>
      </w:r>
      <w:r>
        <w:rPr>
          <w:rFonts w:ascii="Calibri" w:hAnsi="Calibri"/>
          <w:color w:val="525866"/>
          <w:sz w:val="22"/>
        </w:rPr>
        <w:t>PayPal's branded checkout TPV grew 2% currency-neutral, consistent with Q1. While this is slower than Block's Cash App commerce enablement growth, it confirms that the broader digital checkout market is not deteriorating — a floor for Cash App Pay and Square's commerce enablement segment.</w:t>
      </w:r>
    </w:p>
    <w:p>
      <w:pPr>
        <w:pStyle w:val="ListBullet"/>
        <w:ind w:left="360" w:hanging="360"/>
      </w:pPr>
      <w:r>
        <w:rPr>
          <w:rFonts w:ascii="Calibri" w:hAnsi="Calibri"/>
          <w:b/>
          <w:color w:val="525866"/>
          <w:sz w:val="22"/>
        </w:rPr>
        <w:t xml:space="preserve">Financial services portfolio on pace to grow 2x total company revenue: </w:t>
      </w:r>
      <w:r>
        <w:rPr>
          <w:rFonts w:ascii="Calibri" w:hAnsi="Calibri"/>
          <w:color w:val="525866"/>
          <w:sz w:val="22"/>
        </w:rPr>
        <w:t>PayPal's credit and BNPL portfolio is growing at least twice as fast as total company revenue, validating the embedded financial services thesis that underpins Block's financial solutions gross profit growth strategy.</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PayPal raised FY2026 non-GAAP EPS guidance to $5.38 and transaction margin dollars to ~$15.6B, signaling confidence in the consumer spending and digital payments backdrop through year-end — a positive macro signal for Block's H2 2026 outlook.</w:t>
      </w:r>
    </w:p>
    <w:p>
      <w:pPr>
        <w:pStyle w:val="Heading3"/>
      </w:pPr>
      <w:r>
        <w:rPr>
          <w:rFonts w:ascii="Calibri" w:hAnsi="Calibri"/>
          <w:b/>
          <w:color w:val="3B4259"/>
          <w:sz w:val="24"/>
        </w:rPr>
        <w:t>6.4 Robinhood (HOOD) — Q2 2026 (Calendar Q2 2026, reported July 29, 2026)</w:t>
      </w:r>
    </w:p>
    <w:p>
      <w:r>
        <w:rPr>
          <w:rFonts w:ascii="Calibri" w:hAnsi="Calibri"/>
          <w:b/>
          <w:color w:val="525866"/>
          <w:sz w:val="22"/>
        </w:rPr>
        <w:t xml:space="preserve">Key Takeaway: </w:t>
      </w:r>
      <w:r>
        <w:rPr>
          <w:rFonts w:ascii="Calibri" w:hAnsi="Calibri"/>
          <w:color w:val="525866"/>
          <w:sz w:val="22"/>
        </w:rPr>
        <w:t>Robinhood's record Q2 results — $1.3B revenue (+32% YoY), $22B net deposits, 4.8M Gold subscribers, and 1M+ Gold Card holders — validate the consumer fintech engagement thesis and the competitive intensity in the digital banking and card space that Cash App operates in.</w:t>
      </w:r>
    </w:p>
    <w:p>
      <w:pPr>
        <w:pStyle w:val="ListBullet"/>
        <w:ind w:left="360" w:hanging="360"/>
      </w:pPr>
      <w:r>
        <w:rPr>
          <w:rFonts w:ascii="Calibri" w:hAnsi="Calibri"/>
          <w:b/>
          <w:color w:val="525866"/>
          <w:sz w:val="22"/>
        </w:rPr>
        <w:t xml:space="preserve">Record consumer engagement validates fintech demand: </w:t>
      </w:r>
      <w:r>
        <w:rPr>
          <w:rFonts w:ascii="Calibri" w:hAnsi="Calibri"/>
          <w:color w:val="525866"/>
          <w:sz w:val="22"/>
        </w:rPr>
        <w:t>Robinhood's record revenues, net deposits (+28% annualized), and Gold subscriber growth confirm that consumers are actively engaging with fintech platforms for banking, investing, and payments — a positive backdrop for Cash App's primary banking actives growth (+18% YoY in Q1 2026).</w:t>
      </w:r>
    </w:p>
    <w:p>
      <w:pPr>
        <w:pStyle w:val="ListBullet"/>
        <w:ind w:left="360" w:hanging="360"/>
      </w:pPr>
      <w:r>
        <w:rPr>
          <w:rFonts w:ascii="Calibri" w:hAnsi="Calibri"/>
          <w:b/>
          <w:color w:val="525866"/>
          <w:sz w:val="22"/>
        </w:rPr>
        <w:t xml:space="preserve">Gold Card surpassing 1M cardholders with $17B annualized purchase volume: </w:t>
      </w:r>
      <w:r>
        <w:rPr>
          <w:rFonts w:ascii="Calibri" w:hAnsi="Calibri"/>
          <w:color w:val="525866"/>
          <w:sz w:val="22"/>
        </w:rPr>
        <w:t>Robinhood's debit card success (1M+ cardholders, $17B annualized spend) is a direct competitive read-through for Cash App Card. The rapid card adoption validates consumer appetite for fintech-native debit products, but also signals intensifying competition for Cash App's card engagement and inflows.</w:t>
      </w:r>
    </w:p>
    <w:p>
      <w:pPr>
        <w:pStyle w:val="ListBullet"/>
        <w:ind w:left="360" w:hanging="360"/>
      </w:pPr>
      <w:r>
        <w:rPr>
          <w:rFonts w:ascii="Calibri" w:hAnsi="Calibri"/>
          <w:b/>
          <w:color w:val="525866"/>
          <w:sz w:val="22"/>
        </w:rPr>
        <w:t xml:space="preserve">Banking deposits breaking $3B since November 2025 launch: </w:t>
      </w:r>
      <w:r>
        <w:rPr>
          <w:rFonts w:ascii="Calibri" w:hAnsi="Calibri"/>
          <w:color w:val="525866"/>
          <w:sz w:val="22"/>
        </w:rPr>
        <w:t>Robinhood's rapid banking deposit growth validates the consumer demand for fintech banking alternatives — consistent with Cash App Green's expansion of banking benefits and primary banking actives growth.</w:t>
      </w:r>
    </w:p>
    <w:p>
      <w:pPr>
        <w:pStyle w:val="ListBullet"/>
        <w:ind w:left="360" w:hanging="360"/>
      </w:pPr>
      <w:r>
        <w:rPr>
          <w:rFonts w:ascii="Calibri" w:hAnsi="Calibri"/>
          <w:b/>
          <w:color w:val="525866"/>
          <w:sz w:val="22"/>
        </w:rPr>
        <w:t xml:space="preserve">Q3 2026 off to a good start: </w:t>
      </w:r>
      <w:r>
        <w:rPr>
          <w:rFonts w:ascii="Calibri" w:hAnsi="Calibri"/>
          <w:color w:val="525866"/>
          <w:sz w:val="22"/>
        </w:rPr>
        <w:t>July average daily volumes for equities, options, and event contracts are "in a similar area" to Q2, and net deposits are tracking toward $4B in July. This signals continued consumer financial activity heading into Block's Q2 reporting period.</w:t>
      </w:r>
    </w:p>
    <w:p>
      <w:pPr>
        <w:pStyle w:val="ListBullet"/>
        <w:ind w:left="360" w:hanging="360"/>
      </w:pPr>
      <w:r>
        <w:rPr>
          <w:rFonts w:ascii="Calibri" w:hAnsi="Calibri"/>
          <w:b/>
          <w:color w:val="525866"/>
          <w:sz w:val="22"/>
        </w:rPr>
        <w:t xml:space="preserve">Agentic trading and AI innovation: </w:t>
      </w:r>
      <w:r>
        <w:rPr>
          <w:rFonts w:ascii="Calibri" w:hAnsi="Calibri"/>
          <w:color w:val="525866"/>
          <w:sz w:val="22"/>
        </w:rPr>
        <w:t>Robinhood launched agentic trading (100K+ accounts opened) and Robinhood Chain ($12B+ DEX volume). While not directly competitive with Block's core products, this signals the pace of AI-native product innovation in fintech — validating Block's own AI transformation narrative (Moneybot, Managerbot, Cash App Score).</w:t>
      </w:r>
    </w:p>
    <w:p>
      <w:pPr>
        <w:pStyle w:val="Heading3"/>
      </w:pPr>
      <w:r>
        <w:rPr>
          <w:rFonts w:ascii="Calibri" w:hAnsi="Calibri"/>
          <w:b/>
          <w:color w:val="3B4259"/>
          <w:sz w:val="24"/>
        </w:rPr>
        <w:t>6.5 Affirm (AFRM) — May 2026 Investor Forum (May 12, 2026, commentary on Q2 2026 trends)</w:t>
      </w:r>
    </w:p>
    <w:p>
      <w:r>
        <w:rPr>
          <w:rFonts w:ascii="Calibri" w:hAnsi="Calibri"/>
          <w:b/>
          <w:color w:val="525866"/>
          <w:sz w:val="22"/>
        </w:rPr>
        <w:t xml:space="preserve">Key Takeaway: </w:t>
      </w:r>
      <w:r>
        <w:rPr>
          <w:rFonts w:ascii="Calibri" w:hAnsi="Calibri"/>
          <w:color w:val="525866"/>
          <w:sz w:val="22"/>
        </w:rPr>
        <w:t>Affirm's Investor Forum (May 12, 2026) provided forward-looking commentary directly relevant to Block's Q2 2026 period — BNPL is now 6% of U.S. e-commerce transactions, the Affirm Card is growing 130% YoY with 4.4M active cardholders, and the funding environment is "exceptionally constructive." These are direct positive read-throughs for Block's Afterpay and Cash App lending products.</w:t>
      </w:r>
    </w:p>
    <w:p>
      <w:pPr>
        <w:pStyle w:val="ListBullet"/>
        <w:ind w:left="360" w:hanging="360"/>
      </w:pPr>
      <w:r>
        <w:rPr>
          <w:rFonts w:ascii="Calibri" w:hAnsi="Calibri"/>
          <w:b/>
          <w:color w:val="525866"/>
          <w:sz w:val="22"/>
        </w:rPr>
        <w:t xml:space="preserve">BNPL now 6% of U.S. e-commerce — structural tailwind for Afterpay: </w:t>
      </w:r>
      <w:r>
        <w:rPr>
          <w:rFonts w:ascii="Calibri" w:hAnsi="Calibri"/>
          <w:color w:val="525866"/>
          <w:sz w:val="22"/>
        </w:rPr>
        <w:t>Affirm disclosed that BNPL now makes up ~6% of U.S. e-commerce transactions, with the company targeting $100B in annual GMV (vs. ~$50B trailing 12 months). This structural growth in BNPL adoption is a direct tailwind for Block's Afterpay Pre-Purchase and Post-Purchase products, both of which management described as growing faster than Borrow at comparable stages.</w:t>
      </w:r>
    </w:p>
    <w:p>
      <w:pPr>
        <w:pStyle w:val="ListBullet"/>
        <w:ind w:left="360" w:hanging="360"/>
      </w:pPr>
      <w:r>
        <w:rPr>
          <w:rFonts w:ascii="Calibri" w:hAnsi="Calibri"/>
          <w:b/>
          <w:color w:val="525866"/>
          <w:sz w:val="22"/>
        </w:rPr>
        <w:t xml:space="preserve">Affirm Card at 4.4M actives, growing 130% YoY: </w:t>
      </w:r>
      <w:r>
        <w:rPr>
          <w:rFonts w:ascii="Calibri" w:hAnsi="Calibri"/>
          <w:color w:val="525866"/>
          <w:sz w:val="22"/>
        </w:rPr>
        <w:t>The Affirm Card's rapid growth ($2,400 annual spend per cardholder, 3x more total Affirm spend vs. non-cardholders) validates the embedded card strategy that Cash App Card employs. Cardholders transact most frequently and have the lowest loss rates — consistent with Block's primary banking actives thesis (higher ARPU, better retention).</w:t>
      </w:r>
    </w:p>
    <w:p>
      <w:pPr>
        <w:pStyle w:val="ListBullet"/>
        <w:ind w:left="360" w:hanging="360"/>
      </w:pPr>
      <w:r>
        <w:rPr>
          <w:rFonts w:ascii="Calibri" w:hAnsi="Calibri"/>
          <w:b/>
          <w:color w:val="525866"/>
          <w:sz w:val="22"/>
        </w:rPr>
        <w:t xml:space="preserve">Funding environment "exceptionally constructive": </w:t>
      </w:r>
      <w:r>
        <w:rPr>
          <w:rFonts w:ascii="Calibri" w:hAnsi="Calibri"/>
          <w:color w:val="525866"/>
          <w:sz w:val="22"/>
        </w:rPr>
        <w:t>Affirm's COO described the funding market as "very deep" with "sustained and reducing spreads" and deals with "significant oversubscription." Funding costs are down 125bps YoY. This is a direct positive for Block's consumer lending cost of capital and Borrow/Afterpay unit economics in Q2 2026.</w:t>
      </w:r>
    </w:p>
    <w:p>
      <w:pPr>
        <w:pStyle w:val="ListBullet"/>
        <w:ind w:left="360" w:hanging="360"/>
      </w:pPr>
      <w:r>
        <w:rPr>
          <w:rFonts w:ascii="Calibri" w:hAnsi="Calibri"/>
          <w:b/>
          <w:color w:val="525866"/>
          <w:sz w:val="22"/>
        </w:rPr>
        <w:t xml:space="preserve">Agentic commerce partnerships (Google, Stripe, Shopify): </w:t>
      </w:r>
      <w:r>
        <w:rPr>
          <w:rFonts w:ascii="Calibri" w:hAnsi="Calibri"/>
          <w:color w:val="525866"/>
          <w:sz w:val="22"/>
        </w:rPr>
        <w:t>Affirm announced partnerships with Google, Stripe, and Shopify for agentic commerce integration, with all initiatives expected to be in production "in the coming weeks and months." This validates the agentic payments opportunity that Block is pursuing with Moneybot and Cash App's AI-native product strategy.</w:t>
      </w:r>
    </w:p>
    <w:p>
      <w:pPr>
        <w:pStyle w:val="ListBullet"/>
        <w:ind w:left="360" w:hanging="360"/>
      </w:pPr>
      <w:r>
        <w:rPr>
          <w:rFonts w:ascii="Calibri" w:hAnsi="Calibri"/>
          <w:b/>
          <w:color w:val="525866"/>
          <w:sz w:val="22"/>
        </w:rPr>
        <w:t xml:space="preserve">Big Nothing Days event launched May 12: </w:t>
      </w:r>
      <w:r>
        <w:rPr>
          <w:rFonts w:ascii="Calibri" w:hAnsi="Calibri"/>
          <w:color w:val="525866"/>
          <w:sz w:val="22"/>
        </w:rPr>
        <w:t>Affirm launched its "Big Nothing Days" shopping event (70% more offers, 60% more card-exclusive offers) on May 12, 2026 — directly overlapping with Block's Q2 2026 period. Strong BNPL promotional activity in Q2 is a positive read-through for Cash App's Afterpay commerce enablement gross profit.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Neighborhoods program's sharp inflection in April 2026</w:t>
      </w:r>
      <w:r>
        <w:rPr>
          <w:rFonts w:ascii="Calibri" w:hAnsi="Calibri"/>
          <w:color w:val="525866"/>
          <w:sz w:val="22"/>
        </w:rPr>
        <w:t xml:space="preserve"> — more sellers added in April alone than in the program's entire prior history — which management expects to become a meaningful driver of Cash App actives in H2 2026. The broader peer reporting season (Visa, Mastercard, PayPal, Robinhood) has validated the consumer spending and digital payments backdrop.</w:t>
      </w:r>
    </w:p>
    <w:p>
      <w:pPr>
        <w:pStyle w:val="ListBullet"/>
        <w:ind w:left="360" w:hanging="360"/>
      </w:pPr>
      <w:r>
        <w:rPr>
          <w:rFonts w:ascii="Calibri" w:hAnsi="Calibri"/>
          <w:b/>
          <w:color w:val="525866"/>
          <w:sz w:val="22"/>
        </w:rPr>
        <w:t xml:space="preserve">May 7, 2026 — Q1 2026 Earnings Beat-and-Raise: </w:t>
      </w:r>
      <w:r>
        <w:rPr>
          <w:rFonts w:ascii="Calibri" w:hAnsi="Calibri"/>
          <w:color w:val="525866"/>
          <w:sz w:val="22"/>
        </w:rPr>
        <w:t xml:space="preserve">Block reported Q1 2026 results well above consensus — adj. EPS of $0.847 vs. $0.684 consensus (+24%), gross profit of $2.909B vs. $2.802B consensus (+3.8%). Full-year guidance raised above prior consensus on gross profit (+1pt to 19% growth), adj. operating income ($3.34B), and adj. EPS ($3.85, +62% YoY).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Sets a high bar for Q2 execution but validates the AI transformation and go-to-market investment thesis.</w:t>
      </w:r>
    </w:p>
    <w:p>
      <w:pPr>
        <w:pStyle w:val="ListBullet"/>
        <w:ind w:left="360" w:hanging="360"/>
      </w:pPr>
      <w:r>
        <w:rPr>
          <w:rFonts w:ascii="Calibri" w:hAnsi="Calibri"/>
          <w:b/>
          <w:color w:val="525866"/>
          <w:sz w:val="22"/>
        </w:rPr>
        <w:t xml:space="preserve">May 7, 2026 — Neighborhoods Inflection Confirmed: </w:t>
      </w:r>
      <w:r>
        <w:rPr>
          <w:rFonts w:ascii="Calibri" w:hAnsi="Calibri"/>
          <w:color w:val="525866"/>
          <w:sz w:val="22"/>
        </w:rPr>
        <w:t xml:space="preserve">Management disclosed that Neighborhoods added more sellers in April alone than in the program's entire prior history, with annualized GPV from participating sellers up 190% since December 2025 to $320M. Messaging conversion rates are ~6x higher than seller marketing emails.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Expected to "meaningfully drive Cash App actives in the back half of 2026" — the key catalyst for MTAC reacceleration.</w:t>
      </w:r>
    </w:p>
    <w:p>
      <w:pPr>
        <w:pStyle w:val="ListBullet"/>
        <w:ind w:left="360" w:hanging="360"/>
      </w:pPr>
      <w:r>
        <w:rPr>
          <w:rFonts w:ascii="Calibri" w:hAnsi="Calibri"/>
          <w:b/>
          <w:color w:val="525866"/>
          <w:sz w:val="22"/>
        </w:rPr>
        <w:t xml:space="preserve">May 7, 2026 — Moneybot Reaches 1M Actives in First Week: </w:t>
      </w:r>
      <w:r>
        <w:rPr>
          <w:rFonts w:ascii="Calibri" w:hAnsi="Calibri"/>
          <w:color w:val="525866"/>
          <w:sz w:val="22"/>
        </w:rPr>
        <w:t xml:space="preserve">Moneybot reached general availability and crossed 1 million actives in its first week with no marketing spend. Cash App Score also began rolling out.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Validates the AI-native product strategy and supports the "intelligence company" narrative; early engagement metrics are a positive leading indicator for Cash App monetization.</w:t>
      </w:r>
    </w:p>
    <w:p>
      <w:pPr>
        <w:pStyle w:val="ListBullet"/>
        <w:ind w:left="360" w:hanging="360"/>
      </w:pPr>
      <w:r>
        <w:rPr>
          <w:rFonts w:ascii="Calibri" w:hAnsi="Calibri"/>
          <w:b/>
          <w:color w:val="525866"/>
          <w:sz w:val="22"/>
        </w:rPr>
        <w:t xml:space="preserve">May 7, 2026 — AI Reorg Postmortem: All Expectations Met: </w:t>
      </w:r>
      <w:r>
        <w:rPr>
          <w:rFonts w:ascii="Calibri" w:hAnsi="Calibri"/>
          <w:color w:val="525866"/>
          <w:sz w:val="22"/>
        </w:rPr>
        <w:t xml:space="preserve">Management confirmed all key expectations from the AI workforce restructuring were met — reliability, regulatory commitments, and business growth. Production code changes per engineer rose 2.5x from January to April; non-engineer code contributions up ~60%.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Structural cost reduction is durable; product velocity is compounding, supporting the margin expansion thesis.</w:t>
      </w:r>
    </w:p>
    <w:p>
      <w:pPr>
        <w:pStyle w:val="ListBullet"/>
        <w:ind w:left="360" w:hanging="360"/>
      </w:pPr>
      <w:r>
        <w:rPr>
          <w:rFonts w:ascii="Calibri" w:hAnsi="Calibri"/>
          <w:b/>
          <w:color w:val="525866"/>
          <w:sz w:val="22"/>
        </w:rPr>
        <w:t xml:space="preserve">May 7, 2026 — Square ISO Partnerships Scaling: </w:t>
      </w:r>
      <w:r>
        <w:rPr>
          <w:rFonts w:ascii="Calibri" w:hAnsi="Calibri"/>
          <w:color w:val="525866"/>
          <w:sz w:val="22"/>
        </w:rPr>
        <w:t xml:space="preserve">Block disclosed 140+ active ISO partners, with 200% QoQ growth in new sellers from the ISO channel. March and April were record months for new GPV from newly onboarded sellers.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NVA growth is accelerating through a new distribution channel, supporting Square GPV acceleration in Q2 and beyond.</w:t>
      </w:r>
    </w:p>
    <w:p>
      <w:pPr>
        <w:pStyle w:val="ListBullet"/>
        <w:ind w:left="360" w:hanging="360"/>
      </w:pPr>
      <w:r>
        <w:rPr>
          <w:rFonts w:ascii="Calibri" w:hAnsi="Calibri"/>
          <w:b/>
          <w:color w:val="525866"/>
          <w:sz w:val="22"/>
        </w:rPr>
        <w:t xml:space="preserve">May 7, 2026 — Afterpay Pre-Purchase Launched; BNPL Expanded to P2P: </w:t>
      </w:r>
      <w:r>
        <w:rPr>
          <w:rFonts w:ascii="Calibri" w:hAnsi="Calibri"/>
          <w:color w:val="525866"/>
          <w:sz w:val="22"/>
        </w:rPr>
        <w:t xml:space="preserve">Block launched Afterpay Pre-Purchase (Pay in 4 via Cash App Card) and expanded BNPL to peer-to-peer transactions and Cash App Pay.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Expands the BNPL addressable market within the Cash App ecosystem; each new BNPL surface is growing faster than the prior one at a comparable stage.</w:t>
      </w:r>
    </w:p>
    <w:p>
      <w:pPr>
        <w:pStyle w:val="ListBullet"/>
        <w:ind w:left="360" w:hanging="360"/>
      </w:pPr>
      <w:r>
        <w:rPr>
          <w:rFonts w:ascii="Calibri" w:hAnsi="Calibri"/>
          <w:b/>
          <w:color w:val="525866"/>
          <w:sz w:val="22"/>
        </w:rPr>
        <w:t xml:space="preserve">July 28–30, 2026 — Peer Earnings Validate Consumer Spending Backdrop: </w:t>
      </w:r>
      <w:r>
        <w:rPr>
          <w:rFonts w:ascii="Calibri" w:hAnsi="Calibri"/>
          <w:color w:val="525866"/>
          <w:sz w:val="22"/>
        </w:rPr>
        <w:t xml:space="preserve">Visa (U.S. payments volume +10% YoY, strongest since 2019), Mastercard (GDV +8%, U.S. credit +10%), PayPal (TPV +9% CC, BNPL +26%), and Robinhood (revenue +32%, net deposits record $22B) all reported strong Q2 results.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Broad-based validation of the consumer spending and digital payments environment heading into Block's Q2 print.</w:t>
      </w:r>
    </w:p>
    <w:p>
      <w:pPr>
        <w:pStyle w:val="ListBullet"/>
        <w:ind w:left="360" w:hanging="360"/>
      </w:pPr>
      <w:r>
        <w:rPr>
          <w:rFonts w:ascii="Calibri" w:hAnsi="Calibri"/>
          <w:b/>
          <w:color w:val="525866"/>
          <w:sz w:val="22"/>
        </w:rPr>
        <w:t xml:space="preserve">Ongoing — Two Hardware Launches Teased for 2026: </w:t>
      </w:r>
      <w:r>
        <w:rPr>
          <w:rFonts w:ascii="Calibri" w:hAnsi="Calibri"/>
          <w:color w:val="525866"/>
          <w:sz w:val="22"/>
        </w:rPr>
        <w:t xml:space="preserve">Management teased two hardware launches in 2026 (one for Cash App, one for Square), described as "game-changing for interface." No specific dates disclosed.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Potential upside catalyst if announced on or around the Q2 earnings call; hardware discipline is a cultural anchor for Block's product strategy.</w:t>
      </w:r>
    </w:p>
    <w:p>
      <w:pPr>
        <w:pStyle w:val="ListBullet"/>
        <w:ind w:left="360" w:hanging="360"/>
      </w:pPr>
      <w:r>
        <w:rPr>
          <w:rFonts w:ascii="Calibri" w:hAnsi="Calibri"/>
          <w:b/>
          <w:color w:val="525866"/>
          <w:sz w:val="22"/>
        </w:rPr>
        <w:t xml:space="preserve">Ongoing — Real-Time Pay / Streaming Wages Concept: </w:t>
      </w:r>
      <w:r>
        <w:rPr>
          <w:rFonts w:ascii="Calibri" w:hAnsi="Calibri"/>
          <w:color w:val="525866"/>
          <w:sz w:val="22"/>
        </w:rPr>
        <w:t xml:space="preserve">Jack Dorsey introduced a concept of wages as a "stream" rather than a two-week post-payment cycle, described as a "10x jump" from current formats and particularly compelling for younger consumers. </w:t>
      </w:r>
    </w:p>
    <w:p>
      <w:pPr>
        <w:pStyle w:val="ListBullet"/>
        <w:ind w:left="360" w:hanging="360"/>
      </w:pPr>
      <w:r>
        <w:rPr>
          <w:rFonts w:ascii="Calibri" w:hAnsi="Calibri"/>
          <w:i/>
          <w:color w:val="525866"/>
          <w:sz w:val="22"/>
        </w:rPr>
        <w:t xml:space="preserve">Implication: </w:t>
      </w:r>
      <w:r>
        <w:rPr>
          <w:rFonts w:ascii="Calibri" w:hAnsi="Calibri"/>
          <w:color w:val="525866"/>
          <w:sz w:val="22"/>
        </w:rPr>
        <w:t xml:space="preserve"> Potential new product announcement; if disclosed in Q2, could be a significant catalyst for Cash App actives and inflows growth.</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is </w:t>
      </w:r>
    </w:p>
    <w:p>
      <w:r>
        <w:rPr>
          <w:rFonts w:ascii="Calibri" w:hAnsi="Calibri"/>
          <w:b/>
          <w:color w:val="525866"/>
          <w:sz w:val="22"/>
        </w:rPr>
        <w:t>10b5-1 planned sales only</w:t>
      </w:r>
      <w:r>
        <w:rPr>
          <w:rFonts w:ascii="Calibri" w:hAnsi="Calibri"/>
          <w:color w:val="525866"/>
          <w:sz w:val="22"/>
        </w:rPr>
        <w:t xml:space="preserve"> — no discretionary open-market buys or sells. Director Anthony Eisen has been selling ~6,000 shares per trading day under a pre-planned program (with one larger block sale of 135,750 shares on June 1 and 141,000 shares on July 15), and CFO/COO Amrita Ahuja and Business Lead Owen Jennings have made small planned sales. The systematic, pre-scheduled nature of all transactions means there is </w:t>
      </w:r>
    </w:p>
    <w:p>
      <w:r>
        <w:rPr>
          <w:rFonts w:ascii="Calibri" w:hAnsi="Calibri"/>
          <w:b/>
          <w:color w:val="525866"/>
          <w:sz w:val="22"/>
        </w:rPr>
        <w:t>no negative insider signal</w:t>
      </w:r>
      <w:r>
        <w:rPr>
          <w:rFonts w:ascii="Calibri" w:hAnsi="Calibri"/>
          <w:color w:val="525866"/>
          <w:sz w:val="22"/>
        </w:rPr>
        <w:t xml:space="preserve">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Approx. Value / Shares</w:t>
            </w:r>
          </w:p>
        </w:tc>
        <w:tc>
          <w:tcPr>
            <w:tcW w:type="dxa" w:w="1440"/>
            <w:shd w:val="clear" w:color="auto" w:fill="3B4259"/>
          </w:tcPr>
          <w:p>
            <w:r>
              <w:rPr>
                <w:rFonts w:ascii="Calibri" w:hAnsi="Calibri"/>
                <w:b/>
                <w:color w:val="FFFFFF"/>
                <w:sz w:val="22"/>
              </w:rPr>
              <w:t>Date Range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Eisen, Anthony Mathew</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~6,000 shares/day (routine); 135,750 shares (Jun 1); 141,000 shares (Jul 15); ~36,000 shares (Jul 2)</w:t>
            </w:r>
          </w:p>
        </w:tc>
        <w:tc>
          <w:tcPr>
            <w:tcW w:type="dxa" w:w="1440"/>
          </w:tcPr>
          <w:p>
            <w:r>
              <w:rPr>
                <w:rFonts w:ascii="Calibri" w:hAnsi="Calibri"/>
                <w:sz w:val="22"/>
              </w:rPr>
              <w:t>May 22 – Aug 3, 2026</w:t>
            </w:r>
          </w:p>
        </w:tc>
        <w:tc>
          <w:tcPr>
            <w:tcW w:type="dxa" w:w="1440"/>
          </w:tcPr>
          <w:p>
            <w:r>
              <w:rPr>
                <w:rFonts w:ascii="Calibri" w:hAnsi="Calibri"/>
                <w:sz w:val="22"/>
              </w:rPr>
              <w:t>All transactions under 10b5-1 plan; systematic daily sales plus periodic larger block sales; no discretionary element</w:t>
            </w:r>
          </w:p>
        </w:tc>
      </w:tr>
      <w:tr>
        <w:tc>
          <w:tcPr>
            <w:tcW w:type="dxa" w:w="1440"/>
          </w:tcPr>
          <w:p>
            <w:r>
              <w:rPr>
                <w:rFonts w:ascii="Calibri" w:hAnsi="Calibri"/>
                <w:sz w:val="22"/>
              </w:rPr>
              <w:t>Ahuja, Amrita</w:t>
            </w:r>
          </w:p>
        </w:tc>
        <w:tc>
          <w:tcPr>
            <w:tcW w:type="dxa" w:w="1440"/>
          </w:tcPr>
          <w:p>
            <w:r>
              <w:rPr>
                <w:rFonts w:ascii="Calibri" w:hAnsi="Calibri"/>
                <w:sz w:val="22"/>
              </w:rPr>
              <w:t>CFO &amp; COO</w:t>
            </w:r>
          </w:p>
        </w:tc>
        <w:tc>
          <w:tcPr>
            <w:tcW w:type="dxa" w:w="1440"/>
          </w:tcPr>
          <w:p>
            <w:r>
              <w:rPr>
                <w:rFonts w:ascii="Calibri" w:hAnsi="Calibri"/>
                <w:sz w:val="22"/>
              </w:rPr>
              <w:t>10b5-1 Planned Sale</w:t>
            </w:r>
          </w:p>
        </w:tc>
        <w:tc>
          <w:tcPr>
            <w:tcW w:type="dxa" w:w="1440"/>
          </w:tcPr>
          <w:p>
            <w:r>
              <w:rPr>
                <w:rFonts w:ascii="Calibri" w:hAnsi="Calibri"/>
                <w:sz w:val="22"/>
              </w:rPr>
              <w:t>11,076 shares (Jun 1); 8,093 shares (Jun 16)</w:t>
            </w:r>
          </w:p>
        </w:tc>
        <w:tc>
          <w:tcPr>
            <w:tcW w:type="dxa" w:w="1440"/>
          </w:tcPr>
          <w:p>
            <w:r>
              <w:rPr>
                <w:rFonts w:ascii="Calibri" w:hAnsi="Calibri"/>
                <w:sz w:val="22"/>
              </w:rPr>
              <w:t>Jun 1 &amp; Jun 16, 2026</w:t>
            </w:r>
          </w:p>
        </w:tc>
        <w:tc>
          <w:tcPr>
            <w:tcW w:type="dxa" w:w="1440"/>
          </w:tcPr>
          <w:p>
            <w:r>
              <w:rPr>
                <w:rFonts w:ascii="Calibri" w:hAnsi="Calibri"/>
                <w:sz w:val="22"/>
              </w:rPr>
              <w:t>10b5-1 plan; routine planned sale; no discretionary element</w:t>
            </w:r>
          </w:p>
        </w:tc>
      </w:tr>
      <w:tr>
        <w:tc>
          <w:tcPr>
            <w:tcW w:type="dxa" w:w="1440"/>
          </w:tcPr>
          <w:p>
            <w:r>
              <w:rPr>
                <w:rFonts w:ascii="Calibri" w:hAnsi="Calibri"/>
                <w:sz w:val="22"/>
              </w:rPr>
              <w:t>Grassadonia, Brian</w:t>
            </w:r>
          </w:p>
        </w:tc>
        <w:tc>
          <w:tcPr>
            <w:tcW w:type="dxa" w:w="1440"/>
          </w:tcPr>
          <w:p>
            <w:r>
              <w:rPr>
                <w:rFonts w:ascii="Calibri" w:hAnsi="Calibri"/>
                <w:sz w:val="22"/>
              </w:rPr>
              <w:t>Ecosystem Lead</w:t>
            </w:r>
          </w:p>
        </w:tc>
        <w:tc>
          <w:tcPr>
            <w:tcW w:type="dxa" w:w="1440"/>
          </w:tcPr>
          <w:p>
            <w:r>
              <w:rPr>
                <w:rFonts w:ascii="Calibri" w:hAnsi="Calibri"/>
                <w:sz w:val="22"/>
              </w:rPr>
              <w:t>10b5-1 Planned Sale</w:t>
            </w:r>
          </w:p>
        </w:tc>
        <w:tc>
          <w:tcPr>
            <w:tcW w:type="dxa" w:w="1440"/>
          </w:tcPr>
          <w:p>
            <w:r>
              <w:rPr>
                <w:rFonts w:ascii="Calibri" w:hAnsi="Calibri"/>
                <w:sz w:val="22"/>
              </w:rPr>
              <w:t>43,348 shares (Jul 2)</w:t>
            </w:r>
          </w:p>
        </w:tc>
        <w:tc>
          <w:tcPr>
            <w:tcW w:type="dxa" w:w="1440"/>
          </w:tcPr>
          <w:p>
            <w:r>
              <w:rPr>
                <w:rFonts w:ascii="Calibri" w:hAnsi="Calibri"/>
                <w:sz w:val="22"/>
              </w:rPr>
              <w:t>Jul 2, 2026</w:t>
            </w:r>
          </w:p>
        </w:tc>
        <w:tc>
          <w:tcPr>
            <w:tcW w:type="dxa" w:w="1440"/>
          </w:tcPr>
          <w:p>
            <w:r>
              <w:rPr>
                <w:rFonts w:ascii="Calibri" w:hAnsi="Calibri"/>
                <w:sz w:val="22"/>
              </w:rPr>
              <w:t>10b5-1 plan; single planned sale; no discretionary element</w:t>
            </w:r>
          </w:p>
        </w:tc>
      </w:tr>
      <w:tr>
        <w:tc>
          <w:tcPr>
            <w:tcW w:type="dxa" w:w="1440"/>
          </w:tcPr>
          <w:p>
            <w:r>
              <w:rPr>
                <w:rFonts w:ascii="Calibri" w:hAnsi="Calibri"/>
                <w:sz w:val="22"/>
              </w:rPr>
              <w:t>Jennings, Owen Britton</w:t>
            </w:r>
          </w:p>
        </w:tc>
        <w:tc>
          <w:tcPr>
            <w:tcW w:type="dxa" w:w="1440"/>
          </w:tcPr>
          <w:p>
            <w:r>
              <w:rPr>
                <w:rFonts w:ascii="Calibri" w:hAnsi="Calibri"/>
                <w:sz w:val="22"/>
              </w:rPr>
              <w:t>Business Lead</w:t>
            </w:r>
          </w:p>
        </w:tc>
        <w:tc>
          <w:tcPr>
            <w:tcW w:type="dxa" w:w="1440"/>
          </w:tcPr>
          <w:p>
            <w:r>
              <w:rPr>
                <w:rFonts w:ascii="Calibri" w:hAnsi="Calibri"/>
                <w:sz w:val="22"/>
              </w:rPr>
              <w:t>10b5-1 Planned Sale</w:t>
            </w:r>
          </w:p>
        </w:tc>
        <w:tc>
          <w:tcPr>
            <w:tcW w:type="dxa" w:w="1440"/>
          </w:tcPr>
          <w:p>
            <w:r>
              <w:rPr>
                <w:rFonts w:ascii="Calibri" w:hAnsi="Calibri"/>
                <w:sz w:val="22"/>
              </w:rPr>
              <w:t>1,316 shares (May 22)</w:t>
            </w:r>
          </w:p>
        </w:tc>
        <w:tc>
          <w:tcPr>
            <w:tcW w:type="dxa" w:w="1440"/>
          </w:tcPr>
          <w:p>
            <w:r>
              <w:rPr>
                <w:rFonts w:ascii="Calibri" w:hAnsi="Calibri"/>
                <w:sz w:val="22"/>
              </w:rPr>
              <w:t>May 22, 2026</w:t>
            </w:r>
          </w:p>
        </w:tc>
        <w:tc>
          <w:tcPr>
            <w:tcW w:type="dxa" w:w="1440"/>
          </w:tcPr>
          <w:p>
            <w:r>
              <w:rPr>
                <w:rFonts w:ascii="Calibri" w:hAnsi="Calibri"/>
                <w:sz w:val="22"/>
              </w:rPr>
              <w:t>10b5-1 plan; small planned sale; no discretionary element</w:t>
            </w:r>
          </w:p>
        </w:tc>
      </w:tr>
    </w:tbl>
    <w:p>
      <w:r>
        <w:rPr>
          <w:rFonts w:ascii="Calibri" w:hAnsi="Calibri"/>
          <w:color w:val="525866"/>
          <w:sz w:val="22"/>
        </w:rPr>
        <w:t>Source: SEC Form 4 Filings Database (Insider Transaction Data). All transactions are Open Market Sales under pre-established 10b5-1 trading plans. No open-market discretionary buys or sells were filed in the period. The absence of discretionary selling and the complete lack of any open-market purchases is neutral — consistent with a management team that is not signaling concern but also not making a public show of conviction through open-market buying.</w:t>
      </w:r>
    </w:p>
    <w:p>
      <w:r>
        <w:rPr>
          <w:rFonts w:ascii="Calibri" w:hAnsi="Calibri"/>
          <w:b/>
          <w:color w:val="525866"/>
          <w:sz w:val="22"/>
        </w:rPr>
        <w:t xml:space="preserve">Notable: </w:t>
      </w:r>
      <w:r>
        <w:rPr>
          <w:rFonts w:ascii="Calibri" w:hAnsi="Calibri"/>
          <w:color w:val="525866"/>
          <w:sz w:val="22"/>
        </w:rPr>
        <w:t>Director Anthony Eisen's 135,750-share block sale on June 1 and 141,000-share block sale on July 15 are larger than his routine daily sales but remain within his 10b5-1 plan parameters. These are obligation-driven, not discretionary, and should not be interpreted as a negative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