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Block, Inc. (XYZ)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Block, Inc.</w:t>
            </w:r>
          </w:p>
        </w:tc>
        <w:tc>
          <w:tcPr>
            <w:tcW w:type="dxa" w:w="2160"/>
          </w:tcPr>
          <w:p>
            <w:r>
              <w:rPr>
                <w:rFonts w:ascii="Calibri" w:hAnsi="Calibri"/>
                <w:b/>
                <w:sz w:val="22"/>
              </w:rPr>
              <w:t>Earnings Date</w:t>
            </w:r>
          </w:p>
        </w:tc>
        <w:tc>
          <w:tcPr>
            <w:tcW w:type="dxa" w:w="2160"/>
          </w:tcPr>
          <w:p>
            <w:r>
              <w:rPr>
                <w:rFonts w:ascii="Calibri" w:hAnsi="Calibri"/>
                <w:sz w:val="22"/>
              </w:rPr>
              <w:t>August 5, 2026 (After Market Close)</w:t>
            </w:r>
          </w:p>
        </w:tc>
      </w:tr>
      <w:tr>
        <w:tc>
          <w:tcPr>
            <w:tcW w:type="dxa" w:w="2160"/>
          </w:tcPr>
          <w:p>
            <w:r>
              <w:rPr>
                <w:rFonts w:ascii="Calibri" w:hAnsi="Calibri"/>
                <w:b/>
                <w:sz w:val="22"/>
              </w:rPr>
              <w:t>Ticker</w:t>
            </w:r>
          </w:p>
        </w:tc>
        <w:tc>
          <w:tcPr>
            <w:tcW w:type="dxa" w:w="2160"/>
          </w:tcPr>
          <w:p>
            <w:r>
              <w:rPr>
                <w:rFonts w:ascii="Calibri" w:hAnsi="Calibri"/>
                <w:sz w:val="22"/>
              </w:rPr>
              <w:t>XYZ (NYSE)</w:t>
            </w:r>
          </w:p>
        </w:tc>
        <w:tc>
          <w:tcPr>
            <w:tcW w:type="dxa" w:w="2160"/>
          </w:tcPr>
          <w:p>
            <w:r>
              <w:rPr>
                <w:rFonts w:ascii="Calibri" w:hAnsi="Calibri"/>
                <w:b/>
                <w:sz w:val="22"/>
              </w:rPr>
              <w:t>Prepared</w:t>
            </w:r>
          </w:p>
        </w:tc>
        <w:tc>
          <w:tcPr>
            <w:tcW w:type="dxa" w:w="2160"/>
          </w:tcPr>
          <w:p>
            <w:r>
              <w:rPr>
                <w:rFonts w:ascii="Calibri" w:hAnsi="Calibri"/>
                <w:sz w:val="22"/>
              </w:rPr>
              <w:t>August 4, 2026</w:t>
            </w:r>
          </w:p>
        </w:tc>
      </w:tr>
      <w:tr>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c>
          <w:tcPr>
            <w:tcW w:type="dxa" w:w="2160"/>
          </w:tcPr>
          <w:p>
            <w:r>
              <w:rPr>
                <w:rFonts w:ascii="Calibri" w:hAnsi="Calibri"/>
                <w:b/>
                <w:sz w:val="22"/>
              </w:rPr>
              <w:t>Sector ETF</w:t>
            </w:r>
          </w:p>
        </w:tc>
        <w:tc>
          <w:tcPr>
            <w:tcW w:type="dxa" w:w="2160"/>
          </w:tcPr>
          <w:p>
            <w:r>
              <w:rPr>
                <w:rFonts w:ascii="Calibri" w:hAnsi="Calibri"/>
                <w:sz w:val="22"/>
              </w:rPr>
              <w:t>FINX (Global X FinTech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constructive — consensus is a manageable bar with gross profit guided to $3.04B (+20% YoY) and adjusted EPS of $0.86, and the biggest swing factor is whether Cash App actives and Borrow normalization land in line with management's low-single-digit growth framing or surprise to the upside.</w:t>
      </w:r>
    </w:p>
    <w:p>
      <w:r>
        <w:rPr>
          <w:rFonts w:ascii="Calibri" w:hAnsi="Calibri"/>
          <w:color w:val="525866"/>
          <w:sz w:val="22"/>
        </w:rPr>
        <w:t xml:space="preserve">Block heads into Q2 2026 earnings with a well-telegraphed setup: management guided explicitly to $3.04B in gross profit (+20% YoY), $740M in adjusted operating income (+35% YoY), and $0.86 in adjusted diluted EPS (+39% YoY) on the Q1 call, and consensus has tracked tightly to those figures, leaving limited room for a large upside surprise on the headline but also a low risk of a miss. </w:t>
      </w:r>
      <w:r>
        <w:rPr>
          <w:rFonts w:ascii="Calibri" w:hAnsi="Calibri"/>
          <w:b/>
          <w:color w:val="525866"/>
          <w:sz w:val="22"/>
        </w:rPr>
        <w:t>Management's tone has been notably confident</w:t>
      </w:r>
      <w:r>
        <w:rPr>
          <w:rFonts w:ascii="Calibri" w:hAnsi="Calibri"/>
          <w:color w:val="525866"/>
          <w:sz w:val="22"/>
        </w:rPr>
        <w:t xml:space="preserve"> — the Q1 print raised full-year guidance above prior consensus on gross profit growth rate, adjusted operating income margin, and adjusted EPS, and April intra-quarter data (Square GPV +12% CC, healthy Cash App inflows and monetization rates) was shared proactively, signaling continued momentum. Estimate revisions have been modestly negative since the Q1 print — adjusted EPS consensus has drifted from ~$0.87 to ~$0.87 (essentially flat) — suggesting the market has largely priced in the guided outcome rather than building in incremental upside. The stock has rallied ~21% since the May 7 earnings date (from $70.14 to ~$84.64 as of August 5), driven primarily by </w:t>
      </w:r>
      <w:r>
        <w:rPr>
          <w:rFonts w:ascii="Calibri" w:hAnsi="Calibri"/>
          <w:b/>
          <w:color w:val="525866"/>
          <w:sz w:val="22"/>
        </w:rPr>
        <w:t>multiple expansion rather than estimate revisions</w:t>
      </w:r>
      <w:r>
        <w:rPr>
          <w:rFonts w:ascii="Calibri" w:hAnsi="Calibri"/>
          <w:color w:val="525866"/>
          <w:sz w:val="22"/>
        </w:rPr>
        <w:t xml:space="preserve">, meaning the stock is pricing in execution on the guide but not a material beat. The key wildcard is the pace of </w:t>
      </w:r>
      <w:r>
        <w:rPr>
          <w:rFonts w:ascii="Calibri" w:hAnsi="Calibri"/>
          <w:b/>
          <w:color w:val="525866"/>
          <w:sz w:val="22"/>
        </w:rPr>
        <w:t>Borrow normalization</w:t>
      </w:r>
      <w:r>
        <w:rPr>
          <w:rFonts w:ascii="Calibri" w:hAnsi="Calibri"/>
          <w:color w:val="525866"/>
          <w:sz w:val="22"/>
        </w:rPr>
        <w:t xml:space="preserve"> — management flagged this explicitly as a back-half headwind as exceptional YoY comps are lapped, and any sign that origination growth is decelerating faster than expected (or conversely, that BNPL products are offsetting the slowdown more quickly) could be the single biggest driver of the stock's reaction on August 5.</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 management guided explicitly to Q2 gross profit and EPS, and the street has tracked tightly to those figures. The bigger swing factor is Cash App gross profit (driven by Borrow normalization and BNPL ramp) rather than Square GPV, where April data was already shared and was constructive.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 vs. Guide</w:t>
            </w:r>
          </w:p>
        </w:tc>
      </w:tr>
      <w:tr>
        <w:tc>
          <w:tcPr>
            <w:tcW w:type="dxa" w:w="1234"/>
          </w:tcPr>
          <w:p>
            <w:r>
              <w:rPr>
                <w:rFonts w:ascii="Calibri" w:hAnsi="Calibri"/>
                <w:sz w:val="22"/>
              </w:rPr>
              <w:t>Gross Profit</w:t>
            </w:r>
          </w:p>
        </w:tc>
        <w:tc>
          <w:tcPr>
            <w:tcW w:type="dxa" w:w="1234"/>
          </w:tcPr>
          <w:p>
            <w:r>
              <w:rPr>
                <w:rFonts w:ascii="Calibri" w:hAnsi="Calibri"/>
                <w:sz w:val="22"/>
              </w:rPr>
              <w:t>$2.909B</w:t>
            </w:r>
          </w:p>
        </w:tc>
        <w:tc>
          <w:tcPr>
            <w:tcW w:type="dxa" w:w="1234"/>
          </w:tcPr>
          <w:p>
            <w:r>
              <w:rPr>
                <w:rFonts w:ascii="Calibri" w:hAnsi="Calibri"/>
                <w:sz w:val="22"/>
              </w:rPr>
              <w:t>$2.537B</w:t>
            </w:r>
          </w:p>
        </w:tc>
        <w:tc>
          <w:tcPr>
            <w:tcW w:type="dxa" w:w="1234"/>
          </w:tcPr>
          <w:p>
            <w:r>
              <w:rPr>
                <w:rFonts w:ascii="Calibri" w:hAnsi="Calibri"/>
                <w:sz w:val="22"/>
              </w:rPr>
              <w:t>$3.056B</w:t>
            </w:r>
          </w:p>
        </w:tc>
        <w:tc>
          <w:tcPr>
            <w:tcW w:type="dxa" w:w="1234"/>
          </w:tcPr>
          <w:p>
            <w:r>
              <w:rPr>
                <w:rFonts w:ascii="Calibri" w:hAnsi="Calibri"/>
                <w:sz w:val="22"/>
              </w:rPr>
              <w:t>+20.5%</w:t>
            </w:r>
          </w:p>
        </w:tc>
        <w:tc>
          <w:tcPr>
            <w:tcW w:type="dxa" w:w="1234"/>
          </w:tcPr>
          <w:p>
            <w:r>
              <w:rPr>
                <w:rFonts w:ascii="Calibri" w:hAnsi="Calibri"/>
                <w:sz w:val="22"/>
              </w:rPr>
              <w:t>$3.04B</w:t>
            </w:r>
          </w:p>
        </w:tc>
        <w:tc>
          <w:tcPr>
            <w:tcW w:type="dxa" w:w="1234"/>
          </w:tcPr>
          <w:p>
            <w:r>
              <w:rPr>
                <w:rFonts w:ascii="Calibri" w:hAnsi="Calibri"/>
                <w:sz w:val="22"/>
              </w:rPr>
              <w:t>+0.5%</w:t>
            </w:r>
          </w:p>
        </w:tc>
      </w:tr>
      <w:tr>
        <w:tc>
          <w:tcPr>
            <w:tcW w:type="dxa" w:w="1234"/>
          </w:tcPr>
          <w:p>
            <w:r>
              <w:rPr>
                <w:rFonts w:ascii="Calibri" w:hAnsi="Calibri"/>
                <w:sz w:val="22"/>
              </w:rPr>
              <w:t>Cash App Gross Profit</w:t>
            </w:r>
          </w:p>
        </w:tc>
        <w:tc>
          <w:tcPr>
            <w:tcW w:type="dxa" w:w="1234"/>
          </w:tcPr>
          <w:p>
            <w:r>
              <w:rPr>
                <w:rFonts w:ascii="Calibri" w:hAnsi="Calibri"/>
                <w:sz w:val="22"/>
              </w:rPr>
              <w:t>$1.908B</w:t>
            </w:r>
          </w:p>
        </w:tc>
        <w:tc>
          <w:tcPr>
            <w:tcW w:type="dxa" w:w="1234"/>
          </w:tcPr>
          <w:p>
            <w:r>
              <w:rPr>
                <w:rFonts w:ascii="Calibri" w:hAnsi="Calibri"/>
                <w:sz w:val="22"/>
              </w:rPr>
              <w:t>$1.499B</w:t>
            </w:r>
          </w:p>
        </w:tc>
        <w:tc>
          <w:tcPr>
            <w:tcW w:type="dxa" w:w="1234"/>
          </w:tcPr>
          <w:p>
            <w:r>
              <w:rPr>
                <w:rFonts w:ascii="Calibri" w:hAnsi="Calibri"/>
                <w:sz w:val="22"/>
              </w:rPr>
              <w:t>$1.910B</w:t>
            </w:r>
          </w:p>
        </w:tc>
        <w:tc>
          <w:tcPr>
            <w:tcW w:type="dxa" w:w="1234"/>
          </w:tcPr>
          <w:p>
            <w:r>
              <w:rPr>
                <w:rFonts w:ascii="Calibri" w:hAnsi="Calibri"/>
                <w:sz w:val="22"/>
              </w:rPr>
              <w:t>+27.4%</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Square Gross Profit</w:t>
            </w:r>
          </w:p>
        </w:tc>
        <w:tc>
          <w:tcPr>
            <w:tcW w:type="dxa" w:w="1234"/>
          </w:tcPr>
          <w:p>
            <w:r>
              <w:rPr>
                <w:rFonts w:ascii="Calibri" w:hAnsi="Calibri"/>
                <w:sz w:val="22"/>
              </w:rPr>
              <w:t>$982M</w:t>
            </w:r>
          </w:p>
        </w:tc>
        <w:tc>
          <w:tcPr>
            <w:tcW w:type="dxa" w:w="1234"/>
          </w:tcPr>
          <w:p>
            <w:r>
              <w:rPr>
                <w:rFonts w:ascii="Calibri" w:hAnsi="Calibri"/>
                <w:sz w:val="22"/>
              </w:rPr>
              <w:t>$1.026B</w:t>
            </w:r>
          </w:p>
        </w:tc>
        <w:tc>
          <w:tcPr>
            <w:tcW w:type="dxa" w:w="1234"/>
          </w:tcPr>
          <w:p>
            <w:r>
              <w:rPr>
                <w:rFonts w:ascii="Calibri" w:hAnsi="Calibri"/>
                <w:sz w:val="22"/>
              </w:rPr>
              <w:t>$1.128B</w:t>
            </w:r>
          </w:p>
        </w:tc>
        <w:tc>
          <w:tcPr>
            <w:tcW w:type="dxa" w:w="1234"/>
          </w:tcPr>
          <w:p>
            <w:r>
              <w:rPr>
                <w:rFonts w:ascii="Calibri" w:hAnsi="Calibri"/>
                <w:sz w:val="22"/>
              </w:rPr>
              <w:t>+9.9%</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Gross Payment Volume (GPV)</w:t>
            </w:r>
          </w:p>
        </w:tc>
        <w:tc>
          <w:tcPr>
            <w:tcW w:type="dxa" w:w="1234"/>
          </w:tcPr>
          <w:p>
            <w:r>
              <w:rPr>
                <w:rFonts w:ascii="Calibri" w:hAnsi="Calibri"/>
                <w:sz w:val="22"/>
              </w:rPr>
              <w:t>$63.1B</w:t>
            </w:r>
          </w:p>
        </w:tc>
        <w:tc>
          <w:tcPr>
            <w:tcW w:type="dxa" w:w="1234"/>
          </w:tcPr>
          <w:p>
            <w:r>
              <w:rPr>
                <w:rFonts w:ascii="Calibri" w:hAnsi="Calibri"/>
                <w:sz w:val="22"/>
              </w:rPr>
              <w:t>$66.6B</w:t>
            </w:r>
          </w:p>
        </w:tc>
        <w:tc>
          <w:tcPr>
            <w:tcW w:type="dxa" w:w="1234"/>
          </w:tcPr>
          <w:p>
            <w:r>
              <w:rPr>
                <w:rFonts w:ascii="Calibri" w:hAnsi="Calibri"/>
                <w:sz w:val="22"/>
              </w:rPr>
              <w:t>$73.6B</w:t>
            </w:r>
          </w:p>
        </w:tc>
        <w:tc>
          <w:tcPr>
            <w:tcW w:type="dxa" w:w="1234"/>
          </w:tcPr>
          <w:p>
            <w:r>
              <w:rPr>
                <w:rFonts w:ascii="Calibri" w:hAnsi="Calibri"/>
                <w:sz w:val="22"/>
              </w:rPr>
              <w:t>+10.5%</w:t>
            </w:r>
          </w:p>
        </w:tc>
        <w:tc>
          <w:tcPr>
            <w:tcW w:type="dxa" w:w="1234"/>
          </w:tcPr>
          <w:p>
            <w:r>
              <w:rPr>
                <w:rFonts w:ascii="Calibri" w:hAnsi="Calibri"/>
                <w:sz w:val="22"/>
              </w:rPr>
              <w:t>Accel. vs. 2025</w:t>
            </w:r>
          </w:p>
        </w:tc>
        <w:tc>
          <w:tcPr>
            <w:tcW w:type="dxa" w:w="1234"/>
          </w:tcPr>
          <w:p>
            <w:r>
              <w:rPr>
                <w:rFonts w:ascii="Calibri" w:hAnsi="Calibri"/>
                <w:sz w:val="22"/>
              </w:rPr>
              <w:t>N/A</w:t>
            </w:r>
          </w:p>
        </w:tc>
      </w:tr>
      <w:tr>
        <w:tc>
          <w:tcPr>
            <w:tcW w:type="dxa" w:w="1234"/>
          </w:tcPr>
          <w:p>
            <w:r>
              <w:rPr>
                <w:rFonts w:ascii="Calibri" w:hAnsi="Calibri"/>
                <w:sz w:val="22"/>
              </w:rPr>
              <w:t>Cash App MTACs</w:t>
            </w:r>
          </w:p>
        </w:tc>
        <w:tc>
          <w:tcPr>
            <w:tcW w:type="dxa" w:w="1234"/>
          </w:tcPr>
          <w:p>
            <w:r>
              <w:rPr>
                <w:rFonts w:ascii="Calibri" w:hAnsi="Calibri"/>
                <w:sz w:val="22"/>
              </w:rPr>
              <w:t>59.0M</w:t>
            </w:r>
          </w:p>
        </w:tc>
        <w:tc>
          <w:tcPr>
            <w:tcW w:type="dxa" w:w="1234"/>
          </w:tcPr>
          <w:p>
            <w:r>
              <w:rPr>
                <w:rFonts w:ascii="Calibri" w:hAnsi="Calibri"/>
                <w:sz w:val="22"/>
              </w:rPr>
              <w:t>57.0M</w:t>
            </w:r>
          </w:p>
        </w:tc>
        <w:tc>
          <w:tcPr>
            <w:tcW w:type="dxa" w:w="1234"/>
          </w:tcPr>
          <w:p>
            <w:r>
              <w:rPr>
                <w:rFonts w:ascii="Calibri" w:hAnsi="Calibri"/>
                <w:sz w:val="22"/>
              </w:rPr>
              <w:t>59.1M</w:t>
            </w:r>
          </w:p>
        </w:tc>
        <w:tc>
          <w:tcPr>
            <w:tcW w:type="dxa" w:w="1234"/>
          </w:tcPr>
          <w:p>
            <w:r>
              <w:rPr>
                <w:rFonts w:ascii="Calibri" w:hAnsi="Calibri"/>
                <w:sz w:val="22"/>
              </w:rPr>
              <w:t>+3.7%</w:t>
            </w:r>
          </w:p>
        </w:tc>
        <w:tc>
          <w:tcPr>
            <w:tcW w:type="dxa" w:w="1234"/>
          </w:tcPr>
          <w:p>
            <w:r>
              <w:rPr>
                <w:rFonts w:ascii="Calibri" w:hAnsi="Calibri"/>
                <w:sz w:val="22"/>
              </w:rPr>
              <w:t>Low single-digit growth</w:t>
            </w:r>
          </w:p>
        </w:tc>
        <w:tc>
          <w:tcPr>
            <w:tcW w:type="dxa" w:w="1234"/>
          </w:tcPr>
          <w:p>
            <w:r>
              <w:rPr>
                <w:rFonts w:ascii="Calibri" w:hAnsi="Calibri"/>
                <w:sz w:val="22"/>
              </w:rPr>
              <w:t>~Inline</w:t>
            </w:r>
          </w:p>
        </w:tc>
      </w:tr>
      <w:tr>
        <w:tc>
          <w:tcPr>
            <w:tcW w:type="dxa" w:w="1234"/>
          </w:tcPr>
          <w:p>
            <w:r>
              <w:rPr>
                <w:rFonts w:ascii="Calibri" w:hAnsi="Calibri"/>
                <w:sz w:val="22"/>
              </w:rPr>
              <w:t>Adj. Operating EPS (Diluted)</w:t>
            </w:r>
          </w:p>
        </w:tc>
        <w:tc>
          <w:tcPr>
            <w:tcW w:type="dxa" w:w="1234"/>
          </w:tcPr>
          <w:p>
            <w:r>
              <w:rPr>
                <w:rFonts w:ascii="Calibri" w:hAnsi="Calibri"/>
                <w:sz w:val="22"/>
              </w:rPr>
              <w:t>$0.847</w:t>
            </w:r>
          </w:p>
        </w:tc>
        <w:tc>
          <w:tcPr>
            <w:tcW w:type="dxa" w:w="1234"/>
          </w:tcPr>
          <w:p>
            <w:r>
              <w:rPr>
                <w:rFonts w:ascii="Calibri" w:hAnsi="Calibri"/>
                <w:sz w:val="22"/>
              </w:rPr>
              <w:t>$0.620</w:t>
            </w:r>
          </w:p>
        </w:tc>
        <w:tc>
          <w:tcPr>
            <w:tcW w:type="dxa" w:w="1234"/>
          </w:tcPr>
          <w:p>
            <w:r>
              <w:rPr>
                <w:rFonts w:ascii="Calibri" w:hAnsi="Calibri"/>
                <w:sz w:val="22"/>
              </w:rPr>
              <w:t>$0.868</w:t>
            </w:r>
          </w:p>
        </w:tc>
        <w:tc>
          <w:tcPr>
            <w:tcW w:type="dxa" w:w="1234"/>
          </w:tcPr>
          <w:p>
            <w:r>
              <w:rPr>
                <w:rFonts w:ascii="Calibri" w:hAnsi="Calibri"/>
                <w:sz w:val="22"/>
              </w:rPr>
              <w:t>+40.0%</w:t>
            </w:r>
          </w:p>
        </w:tc>
        <w:tc>
          <w:tcPr>
            <w:tcW w:type="dxa" w:w="1234"/>
          </w:tcPr>
          <w:p>
            <w:r>
              <w:rPr>
                <w:rFonts w:ascii="Calibri" w:hAnsi="Calibri"/>
                <w:sz w:val="22"/>
              </w:rPr>
              <w:t>$0.86</w:t>
            </w:r>
          </w:p>
        </w:tc>
        <w:tc>
          <w:tcPr>
            <w:tcW w:type="dxa" w:w="1234"/>
          </w:tcPr>
          <w:p>
            <w:r>
              <w:rPr>
                <w:rFonts w:ascii="Calibri" w:hAnsi="Calibri"/>
                <w:sz w:val="22"/>
              </w:rPr>
              <w:t>+0.9%</w:t>
            </w:r>
          </w:p>
        </w:tc>
      </w:tr>
      <w:tr>
        <w:tc>
          <w:tcPr>
            <w:tcW w:type="dxa" w:w="1234"/>
          </w:tcPr>
          <w:p>
            <w:r>
              <w:rPr>
                <w:rFonts w:ascii="Calibri" w:hAnsi="Calibri"/>
                <w:sz w:val="22"/>
              </w:rPr>
              <w:t>Adj. Operating EBITDA</w:t>
            </w:r>
          </w:p>
        </w:tc>
        <w:tc>
          <w:tcPr>
            <w:tcW w:type="dxa" w:w="1234"/>
          </w:tcPr>
          <w:p>
            <w:r>
              <w:rPr>
                <w:rFonts w:ascii="Calibri" w:hAnsi="Calibri"/>
                <w:sz w:val="22"/>
              </w:rPr>
              <w:t>$1.010B</w:t>
            </w:r>
          </w:p>
        </w:tc>
        <w:tc>
          <w:tcPr>
            <w:tcW w:type="dxa" w:w="1234"/>
          </w:tcPr>
          <w:p>
            <w:r>
              <w:rPr>
                <w:rFonts w:ascii="Calibri" w:hAnsi="Calibri"/>
                <w:sz w:val="22"/>
              </w:rPr>
              <w:t>$891M</w:t>
            </w:r>
          </w:p>
        </w:tc>
        <w:tc>
          <w:tcPr>
            <w:tcW w:type="dxa" w:w="1234"/>
          </w:tcPr>
          <w:p>
            <w:r>
              <w:rPr>
                <w:rFonts w:ascii="Calibri" w:hAnsi="Calibri"/>
                <w:sz w:val="22"/>
              </w:rPr>
              <w:t>$1.074B</w:t>
            </w:r>
          </w:p>
        </w:tc>
        <w:tc>
          <w:tcPr>
            <w:tcW w:type="dxa" w:w="1234"/>
          </w:tcPr>
          <w:p>
            <w:r>
              <w:rPr>
                <w:rFonts w:ascii="Calibri" w:hAnsi="Calibri"/>
                <w:sz w:val="22"/>
              </w:rPr>
              <w:t>+20.5%</w:t>
            </w:r>
          </w:p>
        </w:tc>
        <w:tc>
          <w:tcPr>
            <w:tcW w:type="dxa" w:w="1234"/>
          </w:tcPr>
          <w:p>
            <w:r>
              <w:rPr>
                <w:rFonts w:ascii="Calibri" w:hAnsi="Calibri"/>
                <w:sz w:val="22"/>
              </w:rPr>
              <w:t>~$1.0B (implied)</w:t>
            </w:r>
          </w:p>
        </w:tc>
        <w:tc>
          <w:tcPr>
            <w:tcW w:type="dxa" w:w="1234"/>
          </w:tcPr>
          <w:p>
            <w:r>
              <w:rPr>
                <w:rFonts w:ascii="Calibri" w:hAnsi="Calibri"/>
                <w:sz w:val="22"/>
              </w:rPr>
              <w:t>~+7%</w:t>
            </w:r>
          </w:p>
        </w:tc>
      </w:tr>
    </w:tbl>
    <w:p>
      <w:r>
        <w:rPr>
          <w:rFonts w:ascii="Calibri" w:hAnsi="Calibri"/>
          <w:i/>
          <w:color w:val="525866"/>
          <w:sz w:val="22"/>
        </w:rPr>
        <w:t>Sources: Visible Alpha consensus and actuals data. Q1 2026 and Q2 2025 figures are reported actuals; Q2 2026 figures are current consensus estimates as of August 4, 2026. Guidance from Q1 2026 earnings call (May 7, 2026) and shareholder letter (8-K EX-99.1). MTACs = Monthly Transacting Active Customers. Adj. Operating EBITDA implied from $740M Adj. Operating Income guidance plus D&amp;A run-rate.</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Gross Profit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$2.909B</w:t>
            </w:r>
          </w:p>
        </w:tc>
        <w:tc>
          <w:tcPr>
            <w:tcW w:type="dxa" w:w="1728"/>
          </w:tcPr>
          <w:p>
            <w:r>
              <w:rPr>
                <w:rFonts w:ascii="Calibri" w:hAnsi="Calibri"/>
                <w:sz w:val="22"/>
              </w:rPr>
              <w:t>$2.802B</w:t>
            </w:r>
          </w:p>
        </w:tc>
        <w:tc>
          <w:tcPr>
            <w:tcW w:type="dxa" w:w="1728"/>
          </w:tcPr>
          <w:p>
            <w:r>
              <w:rPr>
                <w:rFonts w:ascii="Calibri" w:hAnsi="Calibri"/>
                <w:b/>
                <w:color w:val="30A46C"/>
                <w:sz w:val="22"/>
              </w:rPr>
              <w:t>+3.8%</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$2.872B</w:t>
            </w:r>
          </w:p>
        </w:tc>
        <w:tc>
          <w:tcPr>
            <w:tcW w:type="dxa" w:w="1728"/>
          </w:tcPr>
          <w:p>
            <w:r>
              <w:rPr>
                <w:rFonts w:ascii="Calibri" w:hAnsi="Calibri"/>
                <w:sz w:val="22"/>
              </w:rPr>
              <w:t>$2.743B</w:t>
            </w:r>
          </w:p>
        </w:tc>
        <w:tc>
          <w:tcPr>
            <w:tcW w:type="dxa" w:w="1728"/>
          </w:tcPr>
          <w:p>
            <w:r>
              <w:rPr>
                <w:rFonts w:ascii="Calibri" w:hAnsi="Calibri"/>
                <w:b/>
                <w:color w:val="30A46C"/>
                <w:sz w:val="22"/>
              </w:rPr>
              <w:t>+4.7%</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$2.662B</w:t>
            </w:r>
          </w:p>
        </w:tc>
        <w:tc>
          <w:tcPr>
            <w:tcW w:type="dxa" w:w="1728"/>
          </w:tcPr>
          <w:p>
            <w:r>
              <w:rPr>
                <w:rFonts w:ascii="Calibri" w:hAnsi="Calibri"/>
                <w:sz w:val="22"/>
              </w:rPr>
              <w:t>$2.603B</w:t>
            </w:r>
          </w:p>
        </w:tc>
        <w:tc>
          <w:tcPr>
            <w:tcW w:type="dxa" w:w="1728"/>
          </w:tcPr>
          <w:p>
            <w:r>
              <w:rPr>
                <w:rFonts w:ascii="Calibri" w:hAnsi="Calibri"/>
                <w:b/>
                <w:color w:val="30A46C"/>
                <w:sz w:val="22"/>
              </w:rPr>
              <w:t>+2.3%</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$2.537B</w:t>
            </w:r>
          </w:p>
        </w:tc>
        <w:tc>
          <w:tcPr>
            <w:tcW w:type="dxa" w:w="1728"/>
          </w:tcPr>
          <w:p>
            <w:r>
              <w:rPr>
                <w:rFonts w:ascii="Calibri" w:hAnsi="Calibri"/>
                <w:sz w:val="22"/>
              </w:rPr>
              <w:t>$2.460B</w:t>
            </w:r>
          </w:p>
        </w:tc>
        <w:tc>
          <w:tcPr>
            <w:tcW w:type="dxa" w:w="1728"/>
          </w:tcPr>
          <w:p>
            <w:r>
              <w:rPr>
                <w:rFonts w:ascii="Calibri" w:hAnsi="Calibri"/>
                <w:b/>
                <w:color w:val="30A46C"/>
                <w:sz w:val="22"/>
              </w:rPr>
              <w:t>+3.1%</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$2.290B</w:t>
            </w:r>
          </w:p>
        </w:tc>
        <w:tc>
          <w:tcPr>
            <w:tcW w:type="dxa" w:w="1728"/>
          </w:tcPr>
          <w:p>
            <w:r>
              <w:rPr>
                <w:rFonts w:ascii="Calibri" w:hAnsi="Calibri"/>
                <w:sz w:val="22"/>
              </w:rPr>
              <w:t>$2.324B</w:t>
            </w:r>
          </w:p>
        </w:tc>
        <w:tc>
          <w:tcPr>
            <w:tcW w:type="dxa" w:w="1728"/>
          </w:tcPr>
          <w:p>
            <w:r>
              <w:rPr>
                <w:rFonts w:ascii="Calibri" w:hAnsi="Calibri"/>
                <w:b/>
                <w:color w:val="E5484D"/>
                <w:sz w:val="22"/>
              </w:rPr>
              <w:t>−1.5%</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$2.311B</w:t>
            </w:r>
          </w:p>
        </w:tc>
        <w:tc>
          <w:tcPr>
            <w:tcW w:type="dxa" w:w="1728"/>
          </w:tcPr>
          <w:p>
            <w:r>
              <w:rPr>
                <w:rFonts w:ascii="Calibri" w:hAnsi="Calibri"/>
                <w:sz w:val="22"/>
              </w:rPr>
              <w:t>$2.325B</w:t>
            </w:r>
          </w:p>
        </w:tc>
        <w:tc>
          <w:tcPr>
            <w:tcW w:type="dxa" w:w="1728"/>
          </w:tcPr>
          <w:p>
            <w:r>
              <w:rPr>
                <w:rFonts w:ascii="Calibri" w:hAnsi="Calibri"/>
                <w:b/>
                <w:color w:val="E5484D"/>
                <w:sz w:val="22"/>
              </w:rPr>
              <w:t>−0.6%</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$2.253B</w:t>
            </w:r>
          </w:p>
        </w:tc>
        <w:tc>
          <w:tcPr>
            <w:tcW w:type="dxa" w:w="1728"/>
          </w:tcPr>
          <w:p>
            <w:r>
              <w:rPr>
                <w:rFonts w:ascii="Calibri" w:hAnsi="Calibri"/>
                <w:sz w:val="22"/>
              </w:rPr>
              <w:t>$2.236B</w:t>
            </w:r>
          </w:p>
        </w:tc>
        <w:tc>
          <w:tcPr>
            <w:tcW w:type="dxa" w:w="1728"/>
          </w:tcPr>
          <w:p>
            <w:r>
              <w:rPr>
                <w:rFonts w:ascii="Calibri" w:hAnsi="Calibri"/>
                <w:b/>
                <w:color w:val="30A46C"/>
                <w:sz w:val="22"/>
              </w:rPr>
              <w:t>+0.8%</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pre-range</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Top KPI #2: Adjusted Diluted EPS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$0.847</w:t>
            </w:r>
          </w:p>
        </w:tc>
        <w:tc>
          <w:tcPr>
            <w:tcW w:type="dxa" w:w="1728"/>
          </w:tcPr>
          <w:p>
            <w:r>
              <w:rPr>
                <w:rFonts w:ascii="Calibri" w:hAnsi="Calibri"/>
                <w:sz w:val="22"/>
              </w:rPr>
              <w:t>$0.684</w:t>
            </w:r>
          </w:p>
        </w:tc>
        <w:tc>
          <w:tcPr>
            <w:tcW w:type="dxa" w:w="1728"/>
          </w:tcPr>
          <w:p>
            <w:r>
              <w:rPr>
                <w:rFonts w:ascii="Calibri" w:hAnsi="Calibri"/>
                <w:b/>
                <w:color w:val="30A46C"/>
                <w:sz w:val="22"/>
              </w:rPr>
              <w:t>+23.8%</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$0.654</w:t>
            </w:r>
          </w:p>
        </w:tc>
        <w:tc>
          <w:tcPr>
            <w:tcW w:type="dxa" w:w="1728"/>
          </w:tcPr>
          <w:p>
            <w:r>
              <w:rPr>
                <w:rFonts w:ascii="Calibri" w:hAnsi="Calibri"/>
                <w:sz w:val="22"/>
              </w:rPr>
              <w:t>$0.641</w:t>
            </w:r>
          </w:p>
        </w:tc>
        <w:tc>
          <w:tcPr>
            <w:tcW w:type="dxa" w:w="1728"/>
          </w:tcPr>
          <w:p>
            <w:r>
              <w:rPr>
                <w:rFonts w:ascii="Calibri" w:hAnsi="Calibri"/>
                <w:b/>
                <w:color w:val="30A46C"/>
                <w:sz w:val="22"/>
              </w:rPr>
              <w:t>+2.1%</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$0.540</w:t>
            </w:r>
          </w:p>
        </w:tc>
        <w:tc>
          <w:tcPr>
            <w:tcW w:type="dxa" w:w="1728"/>
          </w:tcPr>
          <w:p>
            <w:r>
              <w:rPr>
                <w:rFonts w:ascii="Calibri" w:hAnsi="Calibri"/>
                <w:sz w:val="22"/>
              </w:rPr>
              <w:t>$0.616</w:t>
            </w:r>
          </w:p>
        </w:tc>
        <w:tc>
          <w:tcPr>
            <w:tcW w:type="dxa" w:w="1728"/>
          </w:tcPr>
          <w:p>
            <w:r>
              <w:rPr>
                <w:rFonts w:ascii="Calibri" w:hAnsi="Calibri"/>
                <w:b/>
                <w:color w:val="E5484D"/>
                <w:sz w:val="22"/>
              </w:rPr>
              <w:t>−12.3%</w:t>
            </w:r>
          </w:p>
        </w:tc>
        <w:tc>
          <w:tcPr>
            <w:tcW w:type="dxa" w:w="1728"/>
          </w:tcPr>
          <w:p>
            <w:r>
              <w:rPr>
                <w:rFonts w:ascii="Calibri" w:hAnsi="Calibri"/>
                <w:sz w:val="22"/>
              </w:rPr>
              <w:t>Miss</w:t>
            </w:r>
          </w:p>
        </w:tc>
      </w:tr>
      <w:tr>
        <w:tc>
          <w:tcPr>
            <w:tcW w:type="dxa" w:w="1728"/>
          </w:tcPr>
          <w:p>
            <w:r>
              <w:rPr>
                <w:rFonts w:ascii="Calibri" w:hAnsi="Calibri"/>
                <w:sz w:val="22"/>
              </w:rPr>
              <w:t>Q2 2025</w:t>
            </w:r>
          </w:p>
        </w:tc>
        <w:tc>
          <w:tcPr>
            <w:tcW w:type="dxa" w:w="1728"/>
          </w:tcPr>
          <w:p>
            <w:r>
              <w:rPr>
                <w:rFonts w:ascii="Calibri" w:hAnsi="Calibri"/>
                <w:sz w:val="22"/>
              </w:rPr>
              <w:t>$0.620</w:t>
            </w:r>
          </w:p>
        </w:tc>
        <w:tc>
          <w:tcPr>
            <w:tcW w:type="dxa" w:w="1728"/>
          </w:tcPr>
          <w:p>
            <w:r>
              <w:rPr>
                <w:rFonts w:ascii="Calibri" w:hAnsi="Calibri"/>
                <w:sz w:val="22"/>
              </w:rPr>
              <w:t>$0.556</w:t>
            </w:r>
          </w:p>
        </w:tc>
        <w:tc>
          <w:tcPr>
            <w:tcW w:type="dxa" w:w="1728"/>
          </w:tcPr>
          <w:p>
            <w:r>
              <w:rPr>
                <w:rFonts w:ascii="Calibri" w:hAnsi="Calibri"/>
                <w:b/>
                <w:color w:val="30A46C"/>
                <w:sz w:val="22"/>
              </w:rPr>
              <w:t>+11.5%</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$0.558</w:t>
            </w:r>
          </w:p>
        </w:tc>
        <w:tc>
          <w:tcPr>
            <w:tcW w:type="dxa" w:w="1728"/>
          </w:tcPr>
          <w:p>
            <w:r>
              <w:rPr>
                <w:rFonts w:ascii="Calibri" w:hAnsi="Calibri"/>
                <w:sz w:val="22"/>
              </w:rPr>
              <w:t>$0.937</w:t>
            </w:r>
          </w:p>
        </w:tc>
        <w:tc>
          <w:tcPr>
            <w:tcW w:type="dxa" w:w="1728"/>
          </w:tcPr>
          <w:p>
            <w:r>
              <w:rPr>
                <w:rFonts w:ascii="Calibri" w:hAnsi="Calibri"/>
                <w:b/>
                <w:color w:val="E5484D"/>
                <w:sz w:val="22"/>
              </w:rPr>
              <w:t>−40.5%</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$0.473</w:t>
            </w:r>
          </w:p>
        </w:tc>
        <w:tc>
          <w:tcPr>
            <w:tcW w:type="dxa" w:w="1728"/>
          </w:tcPr>
          <w:p>
            <w:r>
              <w:rPr>
                <w:rFonts w:ascii="Calibri" w:hAnsi="Calibri"/>
                <w:sz w:val="22"/>
              </w:rPr>
              <w:t>$0.898</w:t>
            </w:r>
          </w:p>
        </w:tc>
        <w:tc>
          <w:tcPr>
            <w:tcW w:type="dxa" w:w="1728"/>
          </w:tcPr>
          <w:p>
            <w:r>
              <w:rPr>
                <w:rFonts w:ascii="Calibri" w:hAnsi="Calibri"/>
                <w:b/>
                <w:color w:val="E5484D"/>
                <w:sz w:val="22"/>
              </w:rPr>
              <w:t>−47.3%</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$0.534</w:t>
            </w:r>
          </w:p>
        </w:tc>
        <w:tc>
          <w:tcPr>
            <w:tcW w:type="dxa" w:w="1728"/>
          </w:tcPr>
          <w:p>
            <w:r>
              <w:rPr>
                <w:rFonts w:ascii="Calibri" w:hAnsi="Calibri"/>
                <w:sz w:val="22"/>
              </w:rPr>
              <w:t>$0.881</w:t>
            </w:r>
          </w:p>
        </w:tc>
        <w:tc>
          <w:tcPr>
            <w:tcW w:type="dxa" w:w="1728"/>
          </w:tcPr>
          <w:p>
            <w:r>
              <w:rPr>
                <w:rFonts w:ascii="Calibri" w:hAnsi="Calibri"/>
                <w:b/>
                <w:color w:val="E5484D"/>
                <w:sz w:val="22"/>
              </w:rPr>
              <w:t>−39.4%</w:t>
            </w:r>
          </w:p>
        </w:tc>
        <w:tc>
          <w:tcPr>
            <w:tcW w:type="dxa" w:w="1728"/>
          </w:tcPr>
          <w:p>
            <w:r>
              <w:rPr>
                <w:rFonts w:ascii="Calibri" w:hAnsi="Calibri"/>
                <w:sz w:val="22"/>
              </w:rPr>
              <w:t>Miss</w:t>
            </w:r>
          </w:p>
        </w:tc>
      </w:tr>
      <w:tr>
        <w:tc>
          <w:tcPr>
            <w:tcW w:type="dxa" w:w="1728"/>
          </w:tcPr>
          <w:p>
            <w:r>
              <w:rPr>
                <w:rFonts w:ascii="Calibri" w:hAnsi="Calibri"/>
                <w:sz w:val="22"/>
              </w:rPr>
              <w:t>Q2 2024</w:t>
            </w:r>
          </w:p>
        </w:tc>
        <w:tc>
          <w:tcPr>
            <w:tcW w:type="dxa" w:w="1728"/>
          </w:tcPr>
          <w:p>
            <w:r>
              <w:rPr>
                <w:rFonts w:ascii="Calibri" w:hAnsi="Calibri"/>
                <w:sz w:val="22"/>
              </w:rPr>
              <w:t>N/A — pre-range</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note: </w:t>
      </w:r>
      <w:r>
        <w:rPr>
          <w:rFonts w:ascii="Calibri" w:hAnsi="Calibri"/>
          <w:i/>
          <w:color w:val="525866"/>
          <w:sz w:val="22"/>
        </w:rPr>
        <w:t>Gross profit has beaten consensus in 5 of the last 7 reported quarters, with beats accelerating in magnitude through 2025–2026 as management's guidance discipline improved. Adjusted EPS showed large misses in 2024 (driven by restructuring and one-time charges distorting the operating figure) but has normalized to beats in the most recent two quarters; the Q1 2026 beat of +23.8% was the largest in recent history and reflects the step-change in operating leverage from the AI-driven workforce restructuring.</w:t>
      </w:r>
    </w:p>
    <w:p>
      <w:r>
        <w:rPr>
          <w:rFonts w:ascii="Calibri" w:hAnsi="Calibri"/>
          <w:i/>
          <w:color w:val="525866"/>
          <w:sz w:val="22"/>
        </w:rPr>
        <w:t>Source: Visible Alpha consensus and actuals data.</w:t>
      </w:r>
    </w:p>
    <w:p>
      <w:r>
        <w:rPr>
          <w:rFonts w:ascii="Calibri" w:hAnsi="Calibri"/>
          <w:i/>
          <w:color w:val="525866"/>
          <w:sz w:val="22"/>
        </w:rPr>
        <w:t>Source: Q1 2026 Earnings Call transcript and 8-K EX-99.1 Shareholder Letter (May 7, 2026). No post-earnings guidance revisions identified via 8-K or conference filings through August 4,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tracked tightly to management's guidance since the Q1 print, with gross profit and EPS consensus sitting just modestly above the guide midpoints — a healthy setup that implies the street is not building in incremental upside, leaving room for a positive reaction if execution exceeds the guided range.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14,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Guide (%)</w:t>
            </w:r>
          </w:p>
        </w:tc>
      </w:tr>
      <w:tr>
        <w:tc>
          <w:tcPr>
            <w:tcW w:type="dxa" w:w="1080"/>
          </w:tcPr>
          <w:p>
            <w:r>
              <w:rPr>
                <w:rFonts w:ascii="Calibri" w:hAnsi="Calibri"/>
                <w:sz w:val="22"/>
              </w:rPr>
              <w:t>Gross Profit (Q2 2026)</w:t>
            </w:r>
          </w:p>
        </w:tc>
        <w:tc>
          <w:tcPr>
            <w:tcW w:type="dxa" w:w="1080"/>
          </w:tcPr>
          <w:p>
            <w:r>
              <w:rPr>
                <w:rFonts w:ascii="Calibri" w:hAnsi="Calibri"/>
                <w:sz w:val="22"/>
              </w:rPr>
              <w:t>$3.051B</w:t>
            </w:r>
          </w:p>
        </w:tc>
        <w:tc>
          <w:tcPr>
            <w:tcW w:type="dxa" w:w="1080"/>
          </w:tcPr>
          <w:p>
            <w:r>
              <w:rPr>
                <w:rFonts w:ascii="Calibri" w:hAnsi="Calibri"/>
                <w:sz w:val="22"/>
              </w:rPr>
              <w:t>$3.056B</w:t>
            </w:r>
          </w:p>
        </w:tc>
        <w:tc>
          <w:tcPr>
            <w:tcW w:type="dxa" w:w="1080"/>
          </w:tcPr>
          <w:p>
            <w:r>
              <w:rPr>
                <w:rFonts w:ascii="Calibri" w:hAnsi="Calibri"/>
                <w:sz w:val="22"/>
              </w:rPr>
              <w:t>+0.2%</w:t>
            </w:r>
          </w:p>
        </w:tc>
        <w:tc>
          <w:tcPr>
            <w:tcW w:type="dxa" w:w="1080"/>
          </w:tcPr>
          <w:p>
            <w:r>
              <w:rPr>
                <w:rFonts w:ascii="Calibri" w:hAnsi="Calibri"/>
                <w:sz w:val="22"/>
              </w:rPr>
              <w:t>$3.04B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w:t>
            </w:r>
          </w:p>
        </w:tc>
      </w:tr>
      <w:tr>
        <w:tc>
          <w:tcPr>
            <w:tcW w:type="dxa" w:w="1080"/>
          </w:tcPr>
          <w:p>
            <w:r>
              <w:rPr>
                <w:rFonts w:ascii="Calibri" w:hAnsi="Calibri"/>
                <w:sz w:val="22"/>
              </w:rPr>
              <w:t>Adj. EPS — Operating (Q2 2026)</w:t>
            </w:r>
          </w:p>
        </w:tc>
        <w:tc>
          <w:tcPr>
            <w:tcW w:type="dxa" w:w="1080"/>
          </w:tcPr>
          <w:p>
            <w:r>
              <w:rPr>
                <w:rFonts w:ascii="Calibri" w:hAnsi="Calibri"/>
                <w:sz w:val="22"/>
              </w:rPr>
              <w:t>$0.866</w:t>
            </w:r>
          </w:p>
        </w:tc>
        <w:tc>
          <w:tcPr>
            <w:tcW w:type="dxa" w:w="1080"/>
          </w:tcPr>
          <w:p>
            <w:r>
              <w:rPr>
                <w:rFonts w:ascii="Calibri" w:hAnsi="Calibri"/>
                <w:sz w:val="22"/>
              </w:rPr>
              <w:t>$0.868</w:t>
            </w:r>
          </w:p>
        </w:tc>
        <w:tc>
          <w:tcPr>
            <w:tcW w:type="dxa" w:w="1080"/>
          </w:tcPr>
          <w:p>
            <w:r>
              <w:rPr>
                <w:rFonts w:ascii="Calibri" w:hAnsi="Calibri"/>
                <w:sz w:val="22"/>
              </w:rPr>
              <w:t>+0.2%</w:t>
            </w:r>
          </w:p>
        </w:tc>
        <w:tc>
          <w:tcPr>
            <w:tcW w:type="dxa" w:w="1080"/>
          </w:tcPr>
          <w:p>
            <w:r>
              <w:rPr>
                <w:rFonts w:ascii="Calibri" w:hAnsi="Calibri"/>
                <w:sz w:val="22"/>
              </w:rPr>
              <w:t>$0.86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w:t>
            </w:r>
          </w:p>
        </w:tc>
      </w:tr>
      <w:tr>
        <w:tc>
          <w:tcPr>
            <w:tcW w:type="dxa" w:w="1080"/>
          </w:tcPr>
          <w:p>
            <w:r>
              <w:rPr>
                <w:rFonts w:ascii="Calibri" w:hAnsi="Calibri"/>
                <w:sz w:val="22"/>
              </w:rPr>
              <w:t>Cash App Gross Profit (Q2 2026)</w:t>
            </w:r>
          </w:p>
        </w:tc>
        <w:tc>
          <w:tcPr>
            <w:tcW w:type="dxa" w:w="1080"/>
          </w:tcPr>
          <w:p>
            <w:r>
              <w:rPr>
                <w:rFonts w:ascii="Calibri" w:hAnsi="Calibri"/>
                <w:sz w:val="22"/>
              </w:rPr>
              <w:t>$1.906B</w:t>
            </w:r>
          </w:p>
        </w:tc>
        <w:tc>
          <w:tcPr>
            <w:tcW w:type="dxa" w:w="1080"/>
          </w:tcPr>
          <w:p>
            <w:r>
              <w:rPr>
                <w:rFonts w:ascii="Calibri" w:hAnsi="Calibri"/>
                <w:sz w:val="22"/>
              </w:rPr>
              <w:t>$1.910B</w:t>
            </w:r>
          </w:p>
        </w:tc>
        <w:tc>
          <w:tcPr>
            <w:tcW w:type="dxa" w:w="1080"/>
          </w:tcPr>
          <w:p>
            <w:r>
              <w:rPr>
                <w:rFonts w:ascii="Calibri" w:hAnsi="Calibri"/>
                <w:sz w:val="22"/>
              </w:rPr>
              <w:t>+0.2%</w:t>
            </w:r>
          </w:p>
        </w:tc>
        <w:tc>
          <w:tcPr>
            <w:tcW w:type="dxa" w:w="1080"/>
          </w:tcPr>
          <w:p>
            <w:r>
              <w:rPr>
                <w:rFonts w:ascii="Calibri" w:hAnsi="Calibri"/>
                <w:sz w:val="22"/>
              </w:rPr>
              <w:t>N/A (segment)</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Square Gross Profit (Q2 2026)</w:t>
            </w:r>
          </w:p>
        </w:tc>
        <w:tc>
          <w:tcPr>
            <w:tcW w:type="dxa" w:w="1080"/>
          </w:tcPr>
          <w:p>
            <w:r>
              <w:rPr>
                <w:rFonts w:ascii="Calibri" w:hAnsi="Calibri"/>
                <w:sz w:val="22"/>
              </w:rPr>
              <w:t>$1.127B</w:t>
            </w:r>
          </w:p>
        </w:tc>
        <w:tc>
          <w:tcPr>
            <w:tcW w:type="dxa" w:w="1080"/>
          </w:tcPr>
          <w:p>
            <w:r>
              <w:rPr>
                <w:rFonts w:ascii="Calibri" w:hAnsi="Calibri"/>
                <w:sz w:val="22"/>
              </w:rPr>
              <w:t>$1.128B</w:t>
            </w:r>
          </w:p>
        </w:tc>
        <w:tc>
          <w:tcPr>
            <w:tcW w:type="dxa" w:w="1080"/>
          </w:tcPr>
          <w:p>
            <w:r>
              <w:rPr>
                <w:rFonts w:ascii="Calibri" w:hAnsi="Calibri"/>
                <w:sz w:val="22"/>
              </w:rPr>
              <w:t>+0.1%</w:t>
            </w:r>
          </w:p>
        </w:tc>
        <w:tc>
          <w:tcPr>
            <w:tcW w:type="dxa" w:w="1080"/>
          </w:tcPr>
          <w:p>
            <w:r>
              <w:rPr>
                <w:rFonts w:ascii="Calibri" w:hAnsi="Calibri"/>
                <w:sz w:val="22"/>
              </w:rPr>
              <w:t>N/A (segment)</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GPV (Q2 2026)</w:t>
            </w:r>
          </w:p>
        </w:tc>
        <w:tc>
          <w:tcPr>
            <w:tcW w:type="dxa" w:w="1080"/>
          </w:tcPr>
          <w:p>
            <w:r>
              <w:rPr>
                <w:rFonts w:ascii="Calibri" w:hAnsi="Calibri"/>
                <w:sz w:val="22"/>
              </w:rPr>
              <w:t>$73.5B</w:t>
            </w:r>
          </w:p>
        </w:tc>
        <w:tc>
          <w:tcPr>
            <w:tcW w:type="dxa" w:w="1080"/>
          </w:tcPr>
          <w:p>
            <w:r>
              <w:rPr>
                <w:rFonts w:ascii="Calibri" w:hAnsi="Calibri"/>
                <w:sz w:val="22"/>
              </w:rPr>
              <w:t>$73.6B</w:t>
            </w:r>
          </w:p>
        </w:tc>
        <w:tc>
          <w:tcPr>
            <w:tcW w:type="dxa" w:w="1080"/>
          </w:tcPr>
          <w:p>
            <w:r>
              <w:rPr>
                <w:rFonts w:ascii="Calibri" w:hAnsi="Calibri"/>
                <w:sz w:val="22"/>
              </w:rPr>
              <w:t>+0.1%</w:t>
            </w:r>
          </w:p>
        </w:tc>
        <w:tc>
          <w:tcPr>
            <w:tcW w:type="dxa" w:w="1080"/>
          </w:tcPr>
          <w:p>
            <w:r>
              <w:rPr>
                <w:rFonts w:ascii="Calibri" w:hAnsi="Calibri"/>
                <w:sz w:val="22"/>
              </w:rPr>
              <w:t>Accel. vs. 2025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Gross Profit (FY 2026)</w:t>
            </w:r>
          </w:p>
        </w:tc>
        <w:tc>
          <w:tcPr>
            <w:tcW w:type="dxa" w:w="1080"/>
          </w:tcPr>
          <w:p>
            <w:r>
              <w:rPr>
                <w:rFonts w:ascii="Calibri" w:hAnsi="Calibri"/>
                <w:sz w:val="22"/>
              </w:rPr>
              <w:t>$12.366B</w:t>
            </w:r>
          </w:p>
        </w:tc>
        <w:tc>
          <w:tcPr>
            <w:tcW w:type="dxa" w:w="1080"/>
          </w:tcPr>
          <w:p>
            <w:r>
              <w:rPr>
                <w:rFonts w:ascii="Calibri" w:hAnsi="Calibri"/>
                <w:sz w:val="22"/>
              </w:rPr>
              <w:t>$12.379B</w:t>
            </w:r>
          </w:p>
        </w:tc>
        <w:tc>
          <w:tcPr>
            <w:tcW w:type="dxa" w:w="1080"/>
          </w:tcPr>
          <w:p>
            <w:r>
              <w:rPr>
                <w:rFonts w:ascii="Calibri" w:hAnsi="Calibri"/>
                <w:sz w:val="22"/>
              </w:rPr>
              <w:t>+0.1%</w:t>
            </w:r>
          </w:p>
        </w:tc>
        <w:tc>
          <w:tcPr>
            <w:tcW w:type="dxa" w:w="1080"/>
          </w:tcPr>
          <w:p>
            <w:r>
              <w:rPr>
                <w:rFonts w:ascii="Calibri" w:hAnsi="Calibri"/>
                <w:sz w:val="22"/>
              </w:rPr>
              <w:t>$12.33B (+19%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w:t>
            </w:r>
          </w:p>
        </w:tc>
      </w:tr>
      <w:tr>
        <w:tc>
          <w:tcPr>
            <w:tcW w:type="dxa" w:w="1080"/>
          </w:tcPr>
          <w:p>
            <w:r>
              <w:rPr>
                <w:rFonts w:ascii="Calibri" w:hAnsi="Calibri"/>
                <w:sz w:val="22"/>
              </w:rPr>
              <w:t>Adj. EPS — Operating (FY 2026)</w:t>
            </w:r>
          </w:p>
        </w:tc>
        <w:tc>
          <w:tcPr>
            <w:tcW w:type="dxa" w:w="1080"/>
          </w:tcPr>
          <w:p>
            <w:r>
              <w:rPr>
                <w:rFonts w:ascii="Calibri" w:hAnsi="Calibri"/>
                <w:sz w:val="22"/>
              </w:rPr>
              <w:t>$3.890B</w:t>
            </w:r>
          </w:p>
        </w:tc>
        <w:tc>
          <w:tcPr>
            <w:tcW w:type="dxa" w:w="1080"/>
          </w:tcPr>
          <w:p>
            <w:r>
              <w:rPr>
                <w:rFonts w:ascii="Calibri" w:hAnsi="Calibri"/>
                <w:sz w:val="22"/>
              </w:rPr>
              <w:t>$3.904</w:t>
            </w:r>
          </w:p>
        </w:tc>
        <w:tc>
          <w:tcPr>
            <w:tcW w:type="dxa" w:w="1080"/>
          </w:tcPr>
          <w:p>
            <w:r>
              <w:rPr>
                <w:rFonts w:ascii="Calibri" w:hAnsi="Calibri"/>
                <w:sz w:val="22"/>
              </w:rPr>
              <w:t>+0.4%</w:t>
            </w:r>
          </w:p>
        </w:tc>
        <w:tc>
          <w:tcPr>
            <w:tcW w:type="dxa" w:w="1080"/>
          </w:tcPr>
          <w:p>
            <w:r>
              <w:rPr>
                <w:rFonts w:ascii="Calibri" w:hAnsi="Calibri"/>
                <w:sz w:val="22"/>
              </w:rPr>
              <w:t>$3.85 (+62%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+1.4%</w:t>
            </w:r>
          </w:p>
        </w:tc>
      </w:tr>
    </w:tbl>
    <w:p>
      <w:r>
        <w:rPr>
          <w:rFonts w:ascii="Calibri" w:hAnsi="Calibri"/>
          <w:i/>
          <w:color w:val="525866"/>
          <w:sz w:val="22"/>
        </w:rPr>
        <w:t>Estimates have been remarkably stable since the Q1 print — virtually no revision in either direction across all key KPIs — which reflects the unusually tight guidance management provided. The consensus sitting just modestly above the guide midpoints (+0.5% on gross profit, +0.9% on EPS) is a low-risk setup: the bar is essentially the guide, and any execution above the guided range would be a positive surprise.</w:t>
      </w:r>
    </w:p>
    <w:p>
      <w:r>
        <w:rPr>
          <w:rFonts w:ascii="Calibri" w:hAnsi="Calibri"/>
          <w:i/>
          <w:color w:val="525866"/>
          <w:sz w:val="22"/>
        </w:rPr>
        <w:t>Source: Visible Alpha consensus data; as-of-date snapshot May 14, 2026 (approximately 5 trading days post Q1 2026 earnings). Current consensus as of August 4,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XYZ has outperformed both FINX and the S&amp;P 500 since the Q1 2026 earnings date, with the rally driven primarily by multiple expansion (EV/EBITDA expanded ~+8% over 3 months) rather than estimate revisions, which have been essentially flat — suggesting the market is re-rating the business on improved profitability confidence rather than higher numbers.</w:t>
      </w:r>
    </w:p>
    <w:p>
      <w:pPr>
        <w:pStyle w:val="Heading3"/>
      </w:pPr>
      <w:r>
        <w:rPr>
          <w:rFonts w:ascii="Calibri" w:hAnsi="Calibri"/>
          <w:b/>
          <w:color w:val="3B4259"/>
          <w:sz w:val="24"/>
        </w:rPr>
        <w:t>XYZ vs. FINX vs. S&amp;P 500 — Indexed Performance Since May 7,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XYZ (Indexed)</w:t>
            </w:r>
          </w:p>
        </w:tc>
        <w:tc>
          <w:tcPr>
            <w:tcW w:type="dxa" w:w="2160"/>
            <w:shd w:val="clear" w:color="auto" w:fill="3B4259"/>
          </w:tcPr>
          <w:p>
            <w:r>
              <w:rPr>
                <w:rFonts w:ascii="Calibri" w:hAnsi="Calibri"/>
                <w:b/>
                <w:color w:val="FFFFFF"/>
                <w:sz w:val="22"/>
              </w:rPr>
              <w:t>FINX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7, 2026 (Base = 100)</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29, 2026</w:t>
            </w:r>
          </w:p>
        </w:tc>
        <w:tc>
          <w:tcPr>
            <w:tcW w:type="dxa" w:w="2160"/>
          </w:tcPr>
          <w:p>
            <w:r>
              <w:rPr>
                <w:rFonts w:ascii="Calibri" w:hAnsi="Calibri"/>
                <w:sz w:val="22"/>
              </w:rPr>
              <w:t>106.0</w:t>
            </w:r>
          </w:p>
        </w:tc>
        <w:tc>
          <w:tcPr>
            <w:tcW w:type="dxa" w:w="2160"/>
          </w:tcPr>
          <w:p>
            <w:r>
              <w:rPr>
                <w:rFonts w:ascii="Calibri" w:hAnsi="Calibri"/>
                <w:sz w:val="22"/>
              </w:rPr>
              <w:t>98.9</w:t>
            </w:r>
          </w:p>
        </w:tc>
        <w:tc>
          <w:tcPr>
            <w:tcW w:type="dxa" w:w="2160"/>
          </w:tcPr>
          <w:p>
            <w:r>
              <w:rPr>
                <w:rFonts w:ascii="Calibri" w:hAnsi="Calibri"/>
                <w:sz w:val="22"/>
              </w:rPr>
              <w:t>103.1</w:t>
            </w:r>
          </w:p>
        </w:tc>
      </w:tr>
      <w:tr>
        <w:tc>
          <w:tcPr>
            <w:tcW w:type="dxa" w:w="2160"/>
          </w:tcPr>
          <w:p>
            <w:r>
              <w:rPr>
                <w:rFonts w:ascii="Calibri" w:hAnsi="Calibri"/>
                <w:sz w:val="22"/>
              </w:rPr>
              <w:t>Jun 1, 2026</w:t>
            </w:r>
          </w:p>
        </w:tc>
        <w:tc>
          <w:tcPr>
            <w:tcW w:type="dxa" w:w="2160"/>
          </w:tcPr>
          <w:p>
            <w:r>
              <w:rPr>
                <w:rFonts w:ascii="Calibri" w:hAnsi="Calibri"/>
                <w:sz w:val="22"/>
              </w:rPr>
              <w:t>108.5</w:t>
            </w:r>
          </w:p>
        </w:tc>
        <w:tc>
          <w:tcPr>
            <w:tcW w:type="dxa" w:w="2160"/>
          </w:tcPr>
          <w:p>
            <w:r>
              <w:rPr>
                <w:rFonts w:ascii="Calibri" w:hAnsi="Calibri"/>
                <w:sz w:val="22"/>
              </w:rPr>
              <w:t>102.8</w:t>
            </w:r>
          </w:p>
        </w:tc>
        <w:tc>
          <w:tcPr>
            <w:tcW w:type="dxa" w:w="2160"/>
          </w:tcPr>
          <w:p>
            <w:r>
              <w:rPr>
                <w:rFonts w:ascii="Calibri" w:hAnsi="Calibri"/>
                <w:sz w:val="22"/>
              </w:rPr>
              <w:t>103.7</w:t>
            </w:r>
          </w:p>
        </w:tc>
      </w:tr>
      <w:tr>
        <w:tc>
          <w:tcPr>
            <w:tcW w:type="dxa" w:w="2160"/>
          </w:tcPr>
          <w:p>
            <w:r>
              <w:rPr>
                <w:rFonts w:ascii="Calibri" w:hAnsi="Calibri"/>
                <w:sz w:val="22"/>
              </w:rPr>
              <w:t>Jun 10, 2026 (Trough)</w:t>
            </w:r>
          </w:p>
        </w:tc>
        <w:tc>
          <w:tcPr>
            <w:tcW w:type="dxa" w:w="2160"/>
          </w:tcPr>
          <w:p>
            <w:r>
              <w:rPr>
                <w:rFonts w:ascii="Calibri" w:hAnsi="Calibri"/>
                <w:sz w:val="22"/>
              </w:rPr>
              <w:t>95.0</w:t>
            </w:r>
          </w:p>
        </w:tc>
        <w:tc>
          <w:tcPr>
            <w:tcW w:type="dxa" w:w="2160"/>
          </w:tcPr>
          <w:p>
            <w:r>
              <w:rPr>
                <w:rFonts w:ascii="Calibri" w:hAnsi="Calibri"/>
                <w:sz w:val="22"/>
              </w:rPr>
              <w:t>90.2</w:t>
            </w:r>
          </w:p>
        </w:tc>
        <w:tc>
          <w:tcPr>
            <w:tcW w:type="dxa" w:w="2160"/>
          </w:tcPr>
          <w:p>
            <w:r>
              <w:rPr>
                <w:rFonts w:ascii="Calibri" w:hAnsi="Calibri"/>
                <w:sz w:val="22"/>
              </w:rPr>
              <w:t>99.2</w:t>
            </w:r>
          </w:p>
        </w:tc>
      </w:tr>
      <w:tr>
        <w:tc>
          <w:tcPr>
            <w:tcW w:type="dxa" w:w="2160"/>
          </w:tcPr>
          <w:p>
            <w:r>
              <w:rPr>
                <w:rFonts w:ascii="Calibri" w:hAnsi="Calibri"/>
                <w:sz w:val="22"/>
              </w:rPr>
              <w:t>Jun 26, 2026</w:t>
            </w:r>
          </w:p>
        </w:tc>
        <w:tc>
          <w:tcPr>
            <w:tcW w:type="dxa" w:w="2160"/>
          </w:tcPr>
          <w:p>
            <w:r>
              <w:rPr>
                <w:rFonts w:ascii="Calibri" w:hAnsi="Calibri"/>
                <w:sz w:val="22"/>
              </w:rPr>
              <w:t>110.9</w:t>
            </w:r>
          </w:p>
        </w:tc>
        <w:tc>
          <w:tcPr>
            <w:tcW w:type="dxa" w:w="2160"/>
          </w:tcPr>
          <w:p>
            <w:r>
              <w:rPr>
                <w:rFonts w:ascii="Calibri" w:hAnsi="Calibri"/>
                <w:sz w:val="22"/>
              </w:rPr>
              <w:t>96.3</w:t>
            </w:r>
          </w:p>
        </w:tc>
        <w:tc>
          <w:tcPr>
            <w:tcW w:type="dxa" w:w="2160"/>
          </w:tcPr>
          <w:p>
            <w:r>
              <w:rPr>
                <w:rFonts w:ascii="Calibri" w:hAnsi="Calibri"/>
                <w:sz w:val="22"/>
              </w:rPr>
              <w:t>99.6</w:t>
            </w:r>
          </w:p>
        </w:tc>
      </w:tr>
      <w:tr>
        <w:tc>
          <w:tcPr>
            <w:tcW w:type="dxa" w:w="2160"/>
          </w:tcPr>
          <w:p>
            <w:r>
              <w:rPr>
                <w:rFonts w:ascii="Calibri" w:hAnsi="Calibri"/>
                <w:sz w:val="22"/>
              </w:rPr>
              <w:t>Jul 15, 2026</w:t>
            </w:r>
          </w:p>
        </w:tc>
        <w:tc>
          <w:tcPr>
            <w:tcW w:type="dxa" w:w="2160"/>
          </w:tcPr>
          <w:p>
            <w:r>
              <w:rPr>
                <w:rFonts w:ascii="Calibri" w:hAnsi="Calibri"/>
                <w:sz w:val="22"/>
              </w:rPr>
              <w:t>116.6</w:t>
            </w:r>
          </w:p>
        </w:tc>
        <w:tc>
          <w:tcPr>
            <w:tcW w:type="dxa" w:w="2160"/>
          </w:tcPr>
          <w:p>
            <w:r>
              <w:rPr>
                <w:rFonts w:ascii="Calibri" w:hAnsi="Calibri"/>
                <w:sz w:val="22"/>
              </w:rPr>
              <w:t>101.0</w:t>
            </w:r>
          </w:p>
        </w:tc>
        <w:tc>
          <w:tcPr>
            <w:tcW w:type="dxa" w:w="2160"/>
          </w:tcPr>
          <w:p>
            <w:r>
              <w:rPr>
                <w:rFonts w:ascii="Calibri" w:hAnsi="Calibri"/>
                <w:sz w:val="22"/>
              </w:rPr>
              <w:t>103.2</w:t>
            </w:r>
          </w:p>
        </w:tc>
      </w:tr>
      <w:tr>
        <w:tc>
          <w:tcPr>
            <w:tcW w:type="dxa" w:w="2160"/>
          </w:tcPr>
          <w:p>
            <w:r>
              <w:rPr>
                <w:rFonts w:ascii="Calibri" w:hAnsi="Calibri"/>
                <w:sz w:val="22"/>
              </w:rPr>
              <w:t>Jul 28, 2026</w:t>
            </w:r>
          </w:p>
        </w:tc>
        <w:tc>
          <w:tcPr>
            <w:tcW w:type="dxa" w:w="2160"/>
          </w:tcPr>
          <w:p>
            <w:r>
              <w:rPr>
                <w:rFonts w:ascii="Calibri" w:hAnsi="Calibri"/>
                <w:sz w:val="22"/>
              </w:rPr>
              <w:t>118.5</w:t>
            </w:r>
          </w:p>
        </w:tc>
        <w:tc>
          <w:tcPr>
            <w:tcW w:type="dxa" w:w="2160"/>
          </w:tcPr>
          <w:p>
            <w:r>
              <w:rPr>
                <w:rFonts w:ascii="Calibri" w:hAnsi="Calibri"/>
                <w:sz w:val="22"/>
              </w:rPr>
              <w:t>100.7</w:t>
            </w:r>
          </w:p>
        </w:tc>
        <w:tc>
          <w:tcPr>
            <w:tcW w:type="dxa" w:w="2160"/>
          </w:tcPr>
          <w:p>
            <w:r>
              <w:rPr>
                <w:rFonts w:ascii="Calibri" w:hAnsi="Calibri"/>
                <w:sz w:val="22"/>
              </w:rPr>
              <w:t>101.3</w:t>
            </w:r>
          </w:p>
        </w:tc>
      </w:tr>
      <w:tr>
        <w:tc>
          <w:tcPr>
            <w:tcW w:type="dxa" w:w="2160"/>
          </w:tcPr>
          <w:p>
            <w:r>
              <w:rPr>
                <w:rFonts w:ascii="Calibri" w:hAnsi="Calibri"/>
                <w:sz w:val="22"/>
              </w:rPr>
              <w:t>Aug 5, 2026 (Latest)</w:t>
            </w:r>
          </w:p>
        </w:tc>
        <w:tc>
          <w:tcPr>
            <w:tcW w:type="dxa" w:w="2160"/>
          </w:tcPr>
          <w:p>
            <w:r>
              <w:rPr>
                <w:rFonts w:ascii="Calibri" w:hAnsi="Calibri"/>
                <w:sz w:val="22"/>
              </w:rPr>
              <w:t>120.7</w:t>
            </w:r>
          </w:p>
        </w:tc>
        <w:tc>
          <w:tcPr>
            <w:tcW w:type="dxa" w:w="2160"/>
          </w:tcPr>
          <w:p>
            <w:r>
              <w:rPr>
                <w:rFonts w:ascii="Calibri" w:hAnsi="Calibri"/>
                <w:sz w:val="22"/>
              </w:rPr>
              <w:t>103.4</w:t>
            </w:r>
          </w:p>
        </w:tc>
        <w:tc>
          <w:tcPr>
            <w:tcW w:type="dxa" w:w="2160"/>
          </w:tcPr>
          <w:p>
            <w:r>
              <w:rPr>
                <w:rFonts w:ascii="Calibri" w:hAnsi="Calibri"/>
                <w:sz w:val="22"/>
              </w:rPr>
              <w:t>105.4</w:t>
            </w:r>
          </w:p>
        </w:tc>
      </w:tr>
    </w:tbl>
    <w:p>
      <w:r>
        <w:rPr>
          <w:rFonts w:ascii="Calibri" w:hAnsi="Calibri"/>
          <w:b/>
          <w:color w:val="525866"/>
          <w:sz w:val="22"/>
        </w:rPr>
        <w:t xml:space="preserve">Note: </w:t>
      </w:r>
      <w:r>
        <w:rPr>
          <w:rFonts w:ascii="Calibri" w:hAnsi="Calibri"/>
          <w:i/>
          <w:color w:val="525866"/>
          <w:sz w:val="22"/>
        </w:rPr>
        <w:t>Indexed to 100 at May 7, 2026 close ($70.14 for XYZ, $25.86 for FINX, $731.58 for SPY). Latest prices as of August 5, 2026 close: XYZ $84.64 (+20.7%), FINX $26.74 (+3.4%), SPY $771.33 (+5.4%). Sector ETF: FINX (Global X FinTech ETF) — appropriate for Block’s fintech/payments sub-sector. Source: Yahoo Finance / Stock Price Data.</w:t>
      </w:r>
    </w:p>
    <w:p>
      <w:r>
        <w:rPr>
          <w:rFonts w:ascii="Calibri" w:hAnsi="Calibri"/>
          <w:b/>
          <w:color w:val="525866"/>
          <w:sz w:val="22"/>
        </w:rPr>
        <w:t xml:space="preserve">Performance commentary: </w:t>
      </w:r>
      <w:r>
        <w:rPr>
          <w:rFonts w:ascii="Calibri" w:hAnsi="Calibri"/>
          <w:color w:val="525866"/>
          <w:sz w:val="22"/>
        </w:rPr>
        <w:t>XYZ significantly outperformed both FINX (+3.4%) and the S&amp;P 500 (+5.4%) since the Q1 earnings date, gaining +20.7% over the period. The rally was not uniform — the stock pulled back sharply in early June (trough ~$66.63 on June 10, -5% from the earnings date close) alongside a broader fintech selloff, before recovering strongly through late June and July. The stock’s outperformance is consistent with the stock performance decomposition data showing EV/EBITDA multiple expansion of +7.8% over the 3-month window, while estimate revisions were essentially flat. This suggests the market is re-rating Block on improved profitability confidence and AI transformation credibility rather than higher consensus numbers.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confirmed inflection of Neighborhoods — April alone added more sellers than the program’s entire prior history — which is the first concrete evidence that Block’s cross-ecosystem network strategy is working at scale and could become a meaningful driver of Cash App actives in H2 2026.</w:t>
      </w:r>
    </w:p>
    <w:p>
      <w:pPr>
        <w:pStyle w:val="ListBullet"/>
        <w:ind w:left="360" w:hanging="360"/>
      </w:pPr>
      <w:r>
        <w:rPr>
          <w:rFonts w:ascii="Calibri" w:hAnsi="Calibri"/>
          <w:b/>
          <w:color w:val="525866"/>
          <w:sz w:val="22"/>
        </w:rPr>
        <w:t>August 5, 2026 — Q2 2026 Earnings Release Scheduled (After Market Close).</w:t>
      </w:r>
      <w:r>
        <w:rPr>
          <w:rFonts w:ascii="Calibri" w:hAnsi="Calibri"/>
          <w:color w:val="525866"/>
          <w:sz w:val="22"/>
        </w:rPr>
        <w:t xml:space="preserve"> Block confirmed it will release Q2 2026 financial results after market close on August 5, 2026, followed by a conference call and webcast at 2:00 PM PT / 5:00 PM ET. Source: Block press release, July 2, 2026.</w:t>
      </w:r>
    </w:p>
    <w:p>
      <w:pPr>
        <w:pStyle w:val="ListBullet"/>
        <w:ind w:left="360" w:hanging="360"/>
      </w:pPr>
      <w:r>
        <w:rPr>
          <w:rFonts w:ascii="Calibri" w:hAnsi="Calibri"/>
          <w:b/>
          <w:color w:val="525866"/>
          <w:sz w:val="22"/>
        </w:rPr>
        <w:t>June 18, 2026 — Annual Shareholder Meeting.</w:t>
      </w:r>
      <w:r>
        <w:rPr>
          <w:rFonts w:ascii="Calibri" w:hAnsi="Calibri"/>
          <w:color w:val="525866"/>
          <w:sz w:val="22"/>
        </w:rPr>
        <w:t xml:space="preserve"> Block shareholders re-elected directors, approved executive pay, and rejected a proposal to form a technology committee. No material governance changes. Source: 8-K, June 18, 2026. Implication: Routine; no strategic signal.</w:t>
      </w:r>
    </w:p>
    <w:p>
      <w:pPr>
        <w:pStyle w:val="ListBullet"/>
        <w:ind w:left="360" w:hanging="360"/>
      </w:pPr>
      <w:r>
        <w:rPr>
          <w:rFonts w:ascii="Calibri" w:hAnsi="Calibri"/>
          <w:b/>
          <w:color w:val="525866"/>
          <w:sz w:val="22"/>
        </w:rPr>
        <w:t>May 7, 2026 — Q1 2026 Earnings Beat + Full-Year Guidance Raised.</w:t>
      </w:r>
      <w:r>
        <w:rPr>
          <w:rFonts w:ascii="Calibri" w:hAnsi="Calibri"/>
          <w:color w:val="525866"/>
          <w:sz w:val="22"/>
        </w:rPr>
        <w:t xml:space="preserve"> Block reported Q1 2026 gross profit of $2.909B (+3.8% vs. consensus), adjusted EPS of $0.847 (+23.8% vs. consensus), and raised full-year gross profit guidance to $12.33B (+19% YoY, +1pp vs. prior guide) and full-year adjusted EPS to $3.85 (+62% YoY). All-time highs on gross profit, adjusted operating income, and adjusted EBITDA on both a dollar and margin basis. Implication: Established a high-confidence baseline for Q2 and the full year; management’s willingness to share April intra-quarter data proactively was a notable tone shift.</w:t>
      </w:r>
    </w:p>
    <w:p>
      <w:pPr>
        <w:pStyle w:val="ListBullet"/>
        <w:ind w:left="360" w:hanging="360"/>
      </w:pPr>
      <w:r>
        <w:rPr>
          <w:rFonts w:ascii="Calibri" w:hAnsi="Calibri"/>
          <w:b/>
          <w:color w:val="525866"/>
          <w:sz w:val="22"/>
        </w:rPr>
        <w:t>May 7, 2026 — Andrea Acosta Appointed Chief Accounting Officer.</w:t>
      </w:r>
      <w:r>
        <w:rPr>
          <w:rFonts w:ascii="Calibri" w:hAnsi="Calibri"/>
          <w:color w:val="525866"/>
          <w:sz w:val="22"/>
        </w:rPr>
        <w:t xml:space="preserve"> Block appointed Andrea Acosta as CAO, effective May 4, 2026. Source: 8-K, May 4, 2026. Implication: Routine leadership appointment; no strategic signal.</w:t>
      </w:r>
    </w:p>
    <w:p>
      <w:pPr>
        <w:pStyle w:val="ListBullet"/>
        <w:ind w:left="360" w:hanging="360"/>
      </w:pPr>
      <w:r>
        <w:rPr>
          <w:rFonts w:ascii="Calibri" w:hAnsi="Calibri"/>
          <w:b/>
          <w:color w:val="525866"/>
          <w:sz w:val="22"/>
        </w:rPr>
        <w:t>May 7, 2026 — Neighborhoods Inflection Confirmed.</w:t>
      </w:r>
      <w:r>
        <w:rPr>
          <w:rFonts w:ascii="Calibri" w:hAnsi="Calibri"/>
          <w:color w:val="525866"/>
          <w:sz w:val="22"/>
        </w:rPr>
        <w:t xml:space="preserve"> Management disclosed that April alone added more sellers to Neighborhoods than in the program’s entire prior history, with annualized GPV from participating sellers up 190% since December to $320M. In-store redemption expanded. Implication: First concrete evidence of cross-ecosystem network effects at scale; management expects Neighborhoods to become a meaningful driver of Cash App actives in H2 2026.</w:t>
      </w:r>
    </w:p>
    <w:p>
      <w:pPr>
        <w:pStyle w:val="ListBullet"/>
        <w:ind w:left="360" w:hanging="360"/>
      </w:pPr>
      <w:r>
        <w:rPr>
          <w:rFonts w:ascii="Calibri" w:hAnsi="Calibri"/>
          <w:b/>
          <w:color w:val="525866"/>
          <w:sz w:val="22"/>
        </w:rPr>
        <w:t>May 7, 2026 — Moneybot Reached 1M Actives in First Week.</w:t>
      </w:r>
      <w:r>
        <w:rPr>
          <w:rFonts w:ascii="Calibri" w:hAnsi="Calibri"/>
          <w:color w:val="525866"/>
          <w:sz w:val="22"/>
        </w:rPr>
        <w:t xml:space="preserve"> Moneybot reached general availability and crossed one million actives in its first week with no marketing spend. Managerbot rolled out to over one million sellers with retention surprising to the upside (sellers 33% more likely to return after an insight-led session). Implication: AI product velocity is translating into measurable engagement metrics, supporting the intelligence company re-rating thesis.</w:t>
      </w:r>
    </w:p>
    <w:p>
      <w:pPr>
        <w:pStyle w:val="ListBullet"/>
        <w:ind w:left="360" w:hanging="360"/>
      </w:pPr>
      <w:r>
        <w:rPr>
          <w:rFonts w:ascii="Calibri" w:hAnsi="Calibri"/>
          <w:b/>
          <w:color w:val="525866"/>
          <w:sz w:val="22"/>
        </w:rPr>
        <w:t>May 7, 2026 — Consumer Lending Originations +82% YoY in Q1.</w:t>
      </w:r>
      <w:r>
        <w:rPr>
          <w:rFonts w:ascii="Calibri" w:hAnsi="Calibri"/>
          <w:color w:val="525866"/>
          <w:sz w:val="22"/>
        </w:rPr>
        <w:t xml:space="preserve"> Consumer lending origination volume (Cash App Borrow + BNPL) grew 82% YoY in Q1 2026; Borrow originations nearly tripled YoY. Management explicitly flagged Borrow growth normalization as a back-half headwind as exceptional comps are lapped. Implication: The key risk for Q2 and H2 is whether BNPL products (Afterpay Pre-Purchase, P2P BNPL) offset the Borrow deceleration fast enough to sustain Cash App gross profit growth.</w:t>
      </w:r>
    </w:p>
    <w:p>
      <w:pPr>
        <w:pStyle w:val="ListBullet"/>
        <w:ind w:left="360" w:hanging="360"/>
      </w:pPr>
      <w:r>
        <w:rPr>
          <w:rFonts w:ascii="Calibri" w:hAnsi="Calibri"/>
          <w:b/>
          <w:color w:val="525866"/>
          <w:sz w:val="22"/>
        </w:rPr>
        <w:t>May 7, 2026 — Square GPV Accelerated to +13% in Q1; April +12% CC.</w:t>
      </w:r>
      <w:r>
        <w:rPr>
          <w:rFonts w:ascii="Calibri" w:hAnsi="Calibri"/>
          <w:color w:val="525866"/>
          <w:sz w:val="22"/>
        </w:rPr>
        <w:t xml:space="preserve"> Square GPV grew 13% in Q1 2026, with April tracking at +12% in constant currency (U.S. +9% YoY, international +25% CC). ISO partnerships exceeded expectations with 200%+ QoQ growth in new sellers from ISO partners. Implication: Square distribution momentum is real and accelerating; the April data point reduces Q2 GPV uncertainty materially.</w:t>
      </w:r>
    </w:p>
    <w:p>
      <w:pPr>
        <w:pStyle w:val="ListBullet"/>
        <w:ind w:left="360" w:hanging="360"/>
      </w:pPr>
      <w:r>
        <w:rPr>
          <w:rFonts w:ascii="Calibri" w:hAnsi="Calibri"/>
          <w:b/>
          <w:color w:val="525866"/>
          <w:sz w:val="22"/>
        </w:rPr>
        <w:t>May 7, 2026 — AI Reorg Validated; Production Code Changes per Engineer +2.5x.</w:t>
      </w:r>
      <w:r>
        <w:rPr>
          <w:rFonts w:ascii="Calibri" w:hAnsi="Calibri"/>
          <w:color w:val="525866"/>
          <w:sz w:val="22"/>
        </w:rPr>
        <w:t xml:space="preserve"> Management confirmed all key expectations from the AI-driven workforce restructuring were met. Production code changes per engineer rose more than 2.5x from January to April; non-engineer code contributions up ~60%. Implication: Structural cost reduction is durable and compounding; the operating leverage story is not a one-time event.</w:t>
      </w:r>
    </w:p>
    <w:p>
      <w:r>
        <w:br w:type="page"/>
      </w:r>
    </w:p>
    <w:p>
      <w:pPr>
        <w:pStyle w:val="Heading2"/>
      </w:pPr>
      <w:r>
        <w:rPr>
          <w:rFonts w:ascii="Calibri" w:hAnsi="Calibri"/>
          <w:b/>
          <w:color w:val="3B4259"/>
          <w:sz w:val="28"/>
        </w:rPr>
        <w:t>7. Peer Commentaries &amp; Current-Quarter Read-Through</w:t>
      </w:r>
    </w:p>
    <w:p>
      <w:r>
        <w:rPr>
          <w:rFonts w:ascii="Calibri" w:hAnsi="Calibri"/>
          <w:b/>
          <w:color w:val="525866"/>
          <w:sz w:val="22"/>
        </w:rPr>
        <w:t xml:space="preserve">Key Takeaway: </w:t>
      </w:r>
      <w:r>
        <w:rPr>
          <w:rFonts w:ascii="Calibri" w:hAnsi="Calibri"/>
          <w:color w:val="525866"/>
          <w:sz w:val="22"/>
        </w:rPr>
        <w:t>PayPal’s Q2 2026 results are the most relevant peer read-through — strong Venmo TPV growth (+14% YoY), BNPL acceleration (+26%), and improving consumer credit performance are all directly positive signals for Cash App and Afterpay heading into Block’s print. SoFi’s record Q2 originations and improving charge-off rates provide additional confirmation of a healthy consumer credit environment for Cash App Borrow.</w:t>
      </w:r>
    </w:p>
    <w:p>
      <w:r>
        <w:rPr>
          <w:rFonts w:ascii="Calibri" w:hAnsi="Calibri"/>
          <w:b/>
          <w:color w:val="525866"/>
          <w:sz w:val="22"/>
        </w:rPr>
        <w:t xml:space="preserve">Scope note: </w:t>
      </w:r>
      <w:r>
        <w:rPr>
          <w:rFonts w:ascii="Calibri" w:hAnsi="Calibri"/>
          <w:i/>
          <w:color w:val="525866"/>
          <w:sz w:val="22"/>
        </w:rPr>
        <w:t>Only commentary from peers’ Q2 2026 reporting period (quarter ended June 30, 2026) is included below. CPAY’s June 2026 conference commentary was excluded as it addresses B2B corporate payments with no credible read-through to Block’s consumer or SMB businesses. AFRM’s June 2026 8-K was excluded as it covers a revolving credit facility amendment (a capital structure event, not an operational/current-quarter commentary).</w:t>
      </w:r>
    </w:p>
    <w:p>
      <w:pPr>
        <w:pStyle w:val="Heading3"/>
      </w:pPr>
      <w:r>
        <w:rPr>
          <w:rFonts w:ascii="Calibri" w:hAnsi="Calibri"/>
          <w:b/>
          <w:color w:val="3B4259"/>
          <w:sz w:val="24"/>
        </w:rPr>
        <w:t>PayPal (PYPL) — Q2 2026 Earnings Call (July 28, 2026)</w:t>
      </w:r>
    </w:p>
    <w:p>
      <w:r>
        <w:rPr>
          <w:rFonts w:ascii="Calibri" w:hAnsi="Calibri"/>
          <w:b/>
          <w:color w:val="525866"/>
          <w:sz w:val="22"/>
        </w:rPr>
        <w:t xml:space="preserve">Relevance: </w:t>
      </w:r>
      <w:r>
        <w:rPr>
          <w:rFonts w:ascii="Calibri" w:hAnsi="Calibri"/>
          <w:color w:val="525866"/>
          <w:sz w:val="22"/>
        </w:rPr>
        <w:t>PayPal is the most directly comparable peer for Cash App (consumer P2P, debit card, BNPL) and Afterpay (BNPL). Venmo is Cash App’s primary direct competitor in consumer P2P and debit.</w:t>
      </w:r>
    </w:p>
    <w:p>
      <w:pPr>
        <w:pStyle w:val="ListBullet"/>
        <w:ind w:left="360" w:hanging="360"/>
      </w:pPr>
      <w:r>
        <w:rPr>
          <w:rFonts w:ascii="Calibri" w:hAnsi="Calibri"/>
          <w:b/>
          <w:color w:val="525866"/>
          <w:sz w:val="22"/>
        </w:rPr>
        <w:t>Venmo TPV +14% YoY — 7th Consecutive Quarter of Double-Digit Growth.</w:t>
      </w:r>
      <w:r>
        <w:rPr>
          <w:rFonts w:ascii="Calibri" w:hAnsi="Calibri"/>
          <w:color w:val="525866"/>
          <w:sz w:val="22"/>
        </w:rPr>
        <w:t xml:space="preserve"> Venmo total payment volume grew 14% YoY in Q2 2026, marking the seventh consecutive quarter of double-digit growth. Monthly active accounts for the Venmo Debit Card were up more than 50% YoY. Customers using both the Venmo Debit Card and Pay with Venmo generated more than 9x higher ARPA than P2P-only users, and this group roughly doubled in size in the past year. </w:t>
      </w:r>
      <w:r>
        <w:rPr>
          <w:rFonts w:ascii="Calibri" w:hAnsi="Calibri"/>
          <w:b/>
          <w:color w:val="525866"/>
          <w:sz w:val="22"/>
        </w:rPr>
        <w:t>Read-through to Cash App: Highly credible positive.</w:t>
      </w:r>
      <w:r>
        <w:rPr>
          <w:rFonts w:ascii="Calibri" w:hAnsi="Calibri"/>
          <w:color w:val="525866"/>
          <w:sz w:val="22"/>
        </w:rPr>
        <w:t xml:space="preserve"> Strong Venmo engagement and debit card monetization is directly analogous to Cash App’s primary banking actives and Cash Card strategy. If Venmo is seeing 50%+ debit MAA growth and 9x ARPA uplift from multi-product users, Cash App’s primary banking actives (9.7M as of Q1 2026, +18% YoY) and inflows per active growth are likely tracking similarly well.</w:t>
      </w:r>
    </w:p>
    <w:p>
      <w:pPr>
        <w:pStyle w:val="ListBullet"/>
        <w:ind w:left="360" w:hanging="360"/>
      </w:pPr>
      <w:r>
        <w:rPr>
          <w:rFonts w:ascii="Calibri" w:hAnsi="Calibri"/>
          <w:b/>
          <w:color w:val="525866"/>
          <w:sz w:val="22"/>
        </w:rPr>
        <w:t>BNPL Accelerated to +26% YoY; Pay with Venmo BNPL +44%.</w:t>
      </w:r>
      <w:r>
        <w:rPr>
          <w:rFonts w:ascii="Calibri" w:hAnsi="Calibri"/>
          <w:color w:val="525866"/>
          <w:sz w:val="22"/>
        </w:rPr>
        <w:t xml:space="preserve"> PayPal’s BNPL volume grew 26% YoY in Q2 2026, with Pay with Venmo BNPL growing 44%. BNPL was cited as a key driver of branded checkout stabilization. New merchant integrations included Temu (Canada expansion) and Home Depot Canada. </w:t>
      </w:r>
      <w:r>
        <w:rPr>
          <w:rFonts w:ascii="Calibri" w:hAnsi="Calibri"/>
          <w:b/>
          <w:color w:val="525866"/>
          <w:sz w:val="22"/>
        </w:rPr>
        <w:t>Read-through to Afterpay and Cash App: Highly credible positive.</w:t>
      </w:r>
      <w:r>
        <w:rPr>
          <w:rFonts w:ascii="Calibri" w:hAnsi="Calibri"/>
          <w:color w:val="525866"/>
          <w:sz w:val="22"/>
        </w:rPr>
        <w:t xml:space="preserve"> Block’s Afterpay Pre-Purchase (launched February 2026) and Afterpay for P2P transactions (launched April 2026) are both early-stage products growing faster than Borrow did at a comparable stage, per management. PayPal’s BNPL acceleration confirms strong consumer demand for the product category and validates Block’s strategy of embedding BNPL across the Cash App stack.</w:t>
      </w:r>
    </w:p>
    <w:p>
      <w:pPr>
        <w:pStyle w:val="ListBullet"/>
        <w:ind w:left="360" w:hanging="360"/>
      </w:pPr>
      <w:r>
        <w:rPr>
          <w:rFonts w:ascii="Calibri" w:hAnsi="Calibri"/>
          <w:b/>
          <w:color w:val="525866"/>
          <w:sz w:val="22"/>
        </w:rPr>
        <w:t>Consumer Credit Performance Remained Strong; Personal Loan NCO Rate Improved 80bps YoY.</w:t>
      </w:r>
      <w:r>
        <w:rPr>
          <w:rFonts w:ascii="Calibri" w:hAnsi="Calibri"/>
          <w:color w:val="525866"/>
          <w:sz w:val="22"/>
        </w:rPr>
        <w:t xml:space="preserve"> PayPal reported continued strong credit performance in Q2 2026. The all-in annualized net charge-off rate for personal loans improved approximately 80 basis points YoY to ~3.7% (excluding late-stage delinquent loan sales). The 90-day delinquency rates for personal loans were consistent with the prior year. Financial services portfolio (credit + BNPL) is on pace to grow revenue at least twice as fast as the total company in 2026. </w:t>
      </w:r>
      <w:r>
        <w:rPr>
          <w:rFonts w:ascii="Calibri" w:hAnsi="Calibri"/>
          <w:b/>
          <w:color w:val="525866"/>
          <w:sz w:val="22"/>
        </w:rPr>
        <w:t>Read-through to Cash App Borrow: Highly credible positive.</w:t>
      </w:r>
      <w:r>
        <w:rPr>
          <w:rFonts w:ascii="Calibri" w:hAnsi="Calibri"/>
          <w:color w:val="525866"/>
          <w:sz w:val="22"/>
        </w:rPr>
        <w:t xml:space="preserve"> Improving consumer credit quality at PayPal is a direct positive signal for Cash App Borrow’s loss rates. Block management disclosed cohort-level loss rate data showing meaningful improvement as customers mature; PayPal’s macro-level credit data confirms the broader consumer credit environment is supportive.</w:t>
      </w:r>
    </w:p>
    <w:p>
      <w:pPr>
        <w:pStyle w:val="ListBullet"/>
        <w:ind w:left="360" w:hanging="360"/>
      </w:pPr>
      <w:r>
        <w:rPr>
          <w:rFonts w:ascii="Calibri" w:hAnsi="Calibri"/>
          <w:b/>
          <w:color w:val="525866"/>
          <w:sz w:val="22"/>
        </w:rPr>
        <w:t>Total Payment Volume +9% Currency-Neutral; P2P and Consumer Volume +10%.</w:t>
      </w:r>
      <w:r>
        <w:rPr>
          <w:rFonts w:ascii="Calibri" w:hAnsi="Calibri"/>
          <w:color w:val="525866"/>
          <w:sz w:val="22"/>
        </w:rPr>
        <w:t xml:space="preserve"> PayPal’s total TPV grew 9% currency-neutral in Q2 2026. P2P and other consumer volume grew 10% YoY. </w:t>
      </w:r>
      <w:r>
        <w:rPr>
          <w:rFonts w:ascii="Calibri" w:hAnsi="Calibri"/>
          <w:b/>
          <w:color w:val="525866"/>
          <w:sz w:val="22"/>
        </w:rPr>
        <w:t>Read-through to Cash App GPV and Square GPV: Moderate positive.</w:t>
      </w:r>
      <w:r>
        <w:rPr>
          <w:rFonts w:ascii="Calibri" w:hAnsi="Calibri"/>
          <w:color w:val="525866"/>
          <w:sz w:val="22"/>
        </w:rPr>
        <w:t xml:space="preserve"> Healthy overall payment volume growth at PayPal is consistent with the April intra-quarter data Block shared (Square GPV +12% CC, Cash App inflows healthy), and suggests the payment processing environment remained constructive through the full quarter.</w:t>
      </w:r>
    </w:p>
    <w:p>
      <w:pPr>
        <w:pStyle w:val="ListBullet"/>
        <w:ind w:left="360" w:hanging="360"/>
      </w:pPr>
      <w:r>
        <w:rPr>
          <w:rFonts w:ascii="Calibri" w:hAnsi="Calibri"/>
          <w:b/>
          <w:color w:val="525866"/>
          <w:sz w:val="22"/>
        </w:rPr>
        <w:t>Full-Year 2026 Guidance Raised; Non-GAAP EPS Raised to $5.38.</w:t>
      </w:r>
      <w:r>
        <w:rPr>
          <w:rFonts w:ascii="Calibri" w:hAnsi="Calibri"/>
          <w:color w:val="525866"/>
          <w:sz w:val="22"/>
        </w:rPr>
        <w:t xml:space="preserve"> PayPal raised its full-year 2026 non-GAAP EPS guidance to $5.38 and increased transaction margin dollar guidance to ~$15.6B. Q3 2026 guidance calls for low single-digit revenue growth and slightly positive transaction margin dollar growth. </w:t>
      </w:r>
      <w:r>
        <w:rPr>
          <w:rFonts w:ascii="Calibri" w:hAnsi="Calibri"/>
          <w:b/>
          <w:color w:val="525866"/>
          <w:sz w:val="22"/>
        </w:rPr>
        <w:t>Read-through to Block: Moderate positive.</w:t>
      </w:r>
      <w:r>
        <w:rPr>
          <w:rFonts w:ascii="Calibri" w:hAnsi="Calibri"/>
          <w:color w:val="525866"/>
          <w:sz w:val="22"/>
        </w:rPr>
        <w:t xml:space="preserve"> A peer raising full-year guidance in the same reporting period is a constructive signal for the broader fintech/payments sector, though Block’s business mix (gross profit-focused, lending-heavy) means the read-through is directional rather than precise.</w:t>
      </w:r>
    </w:p>
    <w:p>
      <w:pPr>
        <w:pStyle w:val="Heading3"/>
      </w:pPr>
      <w:r>
        <w:rPr>
          <w:rFonts w:ascii="Calibri" w:hAnsi="Calibri"/>
          <w:b/>
          <w:color w:val="3B4259"/>
          <w:sz w:val="24"/>
        </w:rPr>
        <w:t>SoFi Technologies (SOFI) — Q2 2026 Earnings Release (July 29, 2026)</w:t>
      </w:r>
    </w:p>
    <w:p>
      <w:r>
        <w:rPr>
          <w:rFonts w:ascii="Calibri" w:hAnsi="Calibri"/>
          <w:b/>
          <w:color w:val="525866"/>
          <w:sz w:val="22"/>
        </w:rPr>
        <w:t xml:space="preserve">Relevance: </w:t>
      </w:r>
      <w:r>
        <w:rPr>
          <w:rFonts w:ascii="Calibri" w:hAnsi="Calibri"/>
          <w:color w:val="525866"/>
          <w:sz w:val="22"/>
        </w:rPr>
        <w:t>SoFi is a credible read-through for Cash App’s consumer lending (Borrow, BNPL) and primary banking actives strategy, given its focus on consumer financial services, personal loans, and digital banking engagement.</w:t>
      </w:r>
    </w:p>
    <w:p>
      <w:pPr>
        <w:pStyle w:val="ListBullet"/>
        <w:ind w:left="360" w:hanging="360"/>
      </w:pPr>
      <w:r>
        <w:rPr>
          <w:rFonts w:ascii="Calibri" w:hAnsi="Calibri"/>
          <w:b/>
          <w:color w:val="525866"/>
          <w:sz w:val="22"/>
        </w:rPr>
        <w:t>Record Q2 Loan Originations of $14.8B; Personal Loans $10.7B.</w:t>
      </w:r>
      <w:r>
        <w:rPr>
          <w:rFonts w:ascii="Calibri" w:hAnsi="Calibri"/>
          <w:color w:val="525866"/>
          <w:sz w:val="22"/>
        </w:rPr>
        <w:t xml:space="preserve"> SoFi reported its best quarter ever for total loan originations at $14.8B in Q2 2026, up more than $2.6B from the prior quarter. Personal loan originations totaled $10.7B, including $3.1B from the Loan Platform Business. Student loan volume reached $2.7B (+170% YoY, highest in SoFi’s history). </w:t>
      </w:r>
      <w:r>
        <w:rPr>
          <w:rFonts w:ascii="Calibri" w:hAnsi="Calibri"/>
          <w:b/>
          <w:color w:val="525866"/>
          <w:sz w:val="22"/>
        </w:rPr>
        <w:t>Read-through to Cash App Borrow: Highly credible positive.</w:t>
      </w:r>
      <w:r>
        <w:rPr>
          <w:rFonts w:ascii="Calibri" w:hAnsi="Calibri"/>
          <w:color w:val="525866"/>
          <w:sz w:val="22"/>
        </w:rPr>
        <w:t xml:space="preserve"> Record consumer loan demand at SoFi confirms that the consumer credit environment remained robust through Q2 2026, which is directly supportive of Cash App Borrow origination volumes. This is particularly relevant given management’s flagging of Borrow normalization as a back-half headwind — the SoFi data suggests Q2 itself was not the quarter where demand softened.</w:t>
      </w:r>
    </w:p>
    <w:p>
      <w:pPr>
        <w:pStyle w:val="ListBullet"/>
        <w:ind w:left="360" w:hanging="360"/>
      </w:pPr>
      <w:r>
        <w:rPr>
          <w:rFonts w:ascii="Calibri" w:hAnsi="Calibri"/>
          <w:b/>
          <w:color w:val="525866"/>
          <w:sz w:val="22"/>
        </w:rPr>
        <w:t>Consumer Credit Performance Strong; Personal Loan NCO Rate Improved 80bps YoY to ~3.7%.</w:t>
      </w:r>
      <w:r>
        <w:rPr>
          <w:rFonts w:ascii="Calibri" w:hAnsi="Calibri"/>
          <w:color w:val="525866"/>
          <w:sz w:val="22"/>
        </w:rPr>
        <w:t xml:space="preserve"> SoFi reported that credit performance remained strong and in line with expectations. The all-in annualized NCO rate for personal loans improved 80 basis points YoY and 70 basis points QoQ to approximately 3.7%. The 90-day delinquency rates for personal and student loans were consistent with the prior year. The data continues to support a 7–8% maximum cumulative net loss assumption for personal loans. </w:t>
      </w:r>
      <w:r>
        <w:rPr>
          <w:rFonts w:ascii="Calibri" w:hAnsi="Calibri"/>
          <w:b/>
          <w:color w:val="525866"/>
          <w:sz w:val="22"/>
        </w:rPr>
        <w:t>Read-through to Cash App Borrow loss rates: Highly credible positive.</w:t>
      </w:r>
      <w:r>
        <w:rPr>
          <w:rFonts w:ascii="Calibri" w:hAnsi="Calibri"/>
          <w:color w:val="525866"/>
          <w:sz w:val="22"/>
        </w:rPr>
        <w:t xml:space="preserve"> Improving charge-off rates and stable delinquencies at SoFi are a direct positive signal for Block’s consumer lending credit quality. Block management disclosed cohort-level loss rate improvement as customers mature; SoFi’s macro data confirms the broader consumer credit environment is supportive of that trajectory.</w:t>
      </w:r>
    </w:p>
    <w:p>
      <w:pPr>
        <w:pStyle w:val="ListBullet"/>
        <w:ind w:left="360" w:hanging="360"/>
      </w:pPr>
      <w:r>
        <w:rPr>
          <w:rFonts w:ascii="Calibri" w:hAnsi="Calibri"/>
          <w:b/>
          <w:color w:val="525866"/>
          <w:sz w:val="22"/>
        </w:rPr>
        <w:t>Record Member Additions: +1.1M New Members in Q2; Total 15.8M (+35% YoY).</w:t>
      </w:r>
      <w:r>
        <w:rPr>
          <w:rFonts w:ascii="Calibri" w:hAnsi="Calibri"/>
          <w:color w:val="525866"/>
          <w:sz w:val="22"/>
        </w:rPr>
        <w:t xml:space="preserve"> SoFi added a record 1.1 million new members in Q2 2026, bringing total members to 15.8M (+35% YoY). Total products grew by a record 2.2M to 24.4M (+42% YoY). Cross-buy accelerated, with 51% of new products opened by existing members (vs. 43% last quarter and 35% in Q2 2025). SoFi Money reached 7.9M products; SoFi surpassed 200,000 paid SoFi Plus subscribers. Total deposits grew $5.3B to $45.5B. </w:t>
      </w:r>
      <w:r>
        <w:rPr>
          <w:rFonts w:ascii="Calibri" w:hAnsi="Calibri"/>
          <w:b/>
          <w:color w:val="525866"/>
          <w:sz w:val="22"/>
        </w:rPr>
        <w:t>Read-through to Cash App primary banking actives: Credible positive.</w:t>
      </w:r>
      <w:r>
        <w:rPr>
          <w:rFonts w:ascii="Calibri" w:hAnsi="Calibri"/>
          <w:color w:val="525866"/>
          <w:sz w:val="22"/>
        </w:rPr>
        <w:t xml:space="preserve"> Strong consumer demand for digital banking products and cross-sell acceleration at SoFi is consistent with Block’s Cash App Green strategy (9.7M primary banking actives, +18% YoY as of Q1 2026). The 51% cross-buy rate at SoFi validates the multi-product engagement model that Block is pursuing with Cash App Green.</w:t>
      </w:r>
    </w:p>
    <w:p>
      <w:pPr>
        <w:pStyle w:val="ListBullet"/>
        <w:ind w:left="360" w:hanging="360"/>
      </w:pPr>
      <w:r>
        <w:rPr>
          <w:rFonts w:ascii="Calibri" w:hAnsi="Calibri"/>
          <w:b/>
          <w:color w:val="525866"/>
          <w:sz w:val="22"/>
        </w:rPr>
        <w:t>Interchange Fee Revenue +55% YoY; $28B in Annualized Spend.</w:t>
      </w:r>
      <w:r>
        <w:rPr>
          <w:rFonts w:ascii="Calibri" w:hAnsi="Calibri"/>
          <w:color w:val="525866"/>
          <w:sz w:val="22"/>
        </w:rPr>
        <w:t xml:space="preserve"> SoFi’s interchange fee revenue grew 55% YoY in Q2 2026, driven by $28B in total annualized spend across SoFi Money and Credit Card. </w:t>
      </w:r>
      <w:r>
        <w:rPr>
          <w:rFonts w:ascii="Calibri" w:hAnsi="Calibri"/>
          <w:b/>
          <w:color w:val="525866"/>
          <w:sz w:val="22"/>
        </w:rPr>
        <w:t>Read-through to Cash App Card and commerce enablement: Highly credible positive.</w:t>
      </w:r>
      <w:r>
        <w:rPr>
          <w:rFonts w:ascii="Calibri" w:hAnsi="Calibri"/>
          <w:color w:val="525866"/>
          <w:sz w:val="22"/>
        </w:rPr>
        <w:t xml:space="preserve"> Strong consumer debit and credit card spend at SoFi is directly analogous to Cash App Card usage and Cash App commerce enablement gross profit. If consumer card spend is growing at this rate at SoFi, Cash App’s commerce enablement gross profit (which includes Cash Card interchange) is likely tracking well.</w:t>
      </w:r>
    </w:p>
    <w:p>
      <w:pPr>
        <w:pStyle w:val="ListBullet"/>
        <w:ind w:left="360" w:hanging="360"/>
      </w:pPr>
      <w:r>
        <w:rPr>
          <w:rFonts w:ascii="Calibri" w:hAnsi="Calibri"/>
          <w:b/>
          <w:color w:val="525866"/>
          <w:sz w:val="22"/>
        </w:rPr>
        <w:t>SoFi Expanded Loan Platform Business to Include SMB Loans.</w:t>
      </w:r>
      <w:r>
        <w:rPr>
          <w:rFonts w:ascii="Calibri" w:hAnsi="Calibri"/>
          <w:color w:val="525866"/>
          <w:sz w:val="22"/>
        </w:rPr>
        <w:t xml:space="preserve"> SoFi expanded its Loan Platform Business to include SMB Loans in Q2 2026, entering the small business lending market. </w:t>
      </w:r>
      <w:r>
        <w:rPr>
          <w:rFonts w:ascii="Calibri" w:hAnsi="Calibri"/>
          <w:b/>
          <w:color w:val="525866"/>
          <w:sz w:val="22"/>
        </w:rPr>
        <w:t>Read-through to Square Loans: Credible positive.</w:t>
      </w:r>
      <w:r>
        <w:rPr>
          <w:rFonts w:ascii="Calibri" w:hAnsi="Calibri"/>
          <w:color w:val="525866"/>
          <w:sz w:val="22"/>
        </w:rPr>
        <w:t xml:space="preserve"> SoFi’s entry into SMB lending validates the market opportunity and suggests healthy demand for small business credit, which is directly relevant to Square Loans’ growth trajectory.</w:t>
      </w:r>
    </w:p>
    <w:p>
      <w:pPr>
        <w:pStyle w:val="ListBullet"/>
        <w:ind w:left="360" w:hanging="360"/>
      </w:pPr>
      <w:r>
        <w:rPr>
          <w:rFonts w:ascii="Calibri" w:hAnsi="Calibri"/>
          <w:b/>
          <w:color w:val="525866"/>
          <w:sz w:val="22"/>
        </w:rPr>
        <w:t>Full-Year 2026 Revenue Guidance Raised to $4.75B–$4.85B (+32%–35% YoY).</w:t>
      </w:r>
      <w:r>
        <w:rPr>
          <w:rFonts w:ascii="Calibri" w:hAnsi="Calibri"/>
          <w:color w:val="525866"/>
          <w:sz w:val="22"/>
        </w:rPr>
        <w:t xml:space="preserve"> SoFi raised its full-year 2026 adjusted net revenue guidance to $4.75B–$4.85B, implying 32%–35% annual growth. Management continues to expect adjusted EBITDA of ~$1.6B and adjusted EPS of ~$0.60. </w:t>
      </w:r>
      <w:r>
        <w:rPr>
          <w:rFonts w:ascii="Calibri" w:hAnsi="Calibri"/>
          <w:b/>
          <w:color w:val="525866"/>
          <w:sz w:val="22"/>
        </w:rPr>
        <w:t>Read-through to Block: Moderate positive.</w:t>
      </w:r>
      <w:r>
        <w:rPr>
          <w:rFonts w:ascii="Calibri" w:hAnsi="Calibri"/>
          <w:color w:val="525866"/>
          <w:sz w:val="22"/>
        </w:rPr>
        <w:t xml:space="preserve"> A consumer fintech peer raising full-year guidance in the same reporting period is a constructive sector signal, though Block’s business mix and scale differ materially.</w:t>
      </w:r>
    </w:p>
    <w:p>
      <w:r>
        <w:rPr>
          <w:rFonts w:ascii="Calibri" w:hAnsi="Calibri"/>
          <w:i/>
          <w:color w:val="525866"/>
          <w:sz w:val="22"/>
        </w:rPr>
        <w:t>Sources: PayPal Q2 2026 Earnings Call transcript (July 28, 2026); SoFi Technologies Q2 2026 Earnings Release (July 29,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activity since the Q1 earnings date is 10b5-1 plan-driven — no discretionary open-market buys or sells. The volume of Eisen’s sales is large in aggregate but entirely pre-planned; the absence of any discretionary buying or selling is neutral, not a negative signal.</w:t>
      </w:r>
    </w:p>
    <w:p>
      <w:r>
        <w:rPr>
          <w:rFonts w:ascii="Calibri" w:hAnsi="Calibri"/>
          <w:i/>
          <w:color w:val="525866"/>
          <w:sz w:val="22"/>
        </w:rPr>
        <w:t xml:space="preserve">All transactions below are open-market sales (Form 4, transaction code S) executed under pre-established 10b5-1 trading plans. No discretionary open-market buys or sells were identified. No Form 144 (intended sale notices) were filed outside of the 10b5-1 framework. Dates shown are </w:t>
      </w:r>
      <w:r>
        <w:rPr>
          <w:rFonts w:ascii="Calibri" w:hAnsi="Calibri"/>
          <w:b/>
          <w:i/>
          <w:color w:val="525866"/>
          <w:sz w:val="22"/>
        </w:rPr>
        <w:t>effective trade dates</w:t>
      </w:r>
      <w:r>
        <w:rPr>
          <w:rFonts w:ascii="Calibri" w:hAnsi="Calibri"/>
          <w:i/>
          <w:color w:val="525866"/>
          <w:sz w:val="22"/>
        </w:rPr>
        <w:t xml:space="preserve"> (when the transaction was executed), not Form 4 filing dates (which may lag by several days).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Trade Date(s)</w:t>
            </w:r>
          </w:p>
        </w:tc>
        <w:tc>
          <w:tcPr>
            <w:tcW w:type="dxa" w:w="1234"/>
            <w:shd w:val="clear" w:color="auto" w:fill="3B4259"/>
          </w:tcPr>
          <w:p>
            <w:r>
              <w:rPr>
                <w:rFonts w:ascii="Calibri" w:hAnsi="Calibri"/>
                <w:b/>
                <w:color w:val="FFFFFF"/>
                <w:sz w:val="22"/>
              </w:rPr>
              <w:t>Form 4 Filed</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Eisen Anthony Mathew</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~6,000/day (routine); 141,000 on Jul 15; 135,750 on Jun 1; 36,000 on Jul 2</w:t>
            </w:r>
          </w:p>
        </w:tc>
        <w:tc>
          <w:tcPr>
            <w:tcW w:type="dxa" w:w="1234"/>
          </w:tcPr>
          <w:p>
            <w:r>
              <w:rPr>
                <w:rFonts w:ascii="Calibri" w:hAnsi="Calibri"/>
                <w:sz w:val="22"/>
              </w:rPr>
              <w:t>Jun 1 – Aug 3, 2026 (daily cadence)</w:t>
            </w:r>
          </w:p>
        </w:tc>
        <w:tc>
          <w:tcPr>
            <w:tcW w:type="dxa" w:w="1234"/>
          </w:tcPr>
          <w:p>
            <w:r>
              <w:rPr>
                <w:rFonts w:ascii="Calibri" w:hAnsi="Calibri"/>
                <w:sz w:val="22"/>
              </w:rPr>
              <w:t>Multiple filings; latest Aug 3, 2026</w:t>
            </w:r>
          </w:p>
        </w:tc>
        <w:tc>
          <w:tcPr>
            <w:tcW w:type="dxa" w:w="1234"/>
          </w:tcPr>
          <w:p>
            <w:r>
              <w:rPr>
                <w:rFonts w:ascii="Calibri" w:hAnsi="Calibri"/>
                <w:sz w:val="22"/>
              </w:rPr>
              <w:t>All sales under 10b5-1 plan. Routine daily cadence of ~6,000 shares; larger tranches on Jun 1 (135,750 shares) and Jul 15 (141,000 shares) also plan-driven. Shares owned post-period: ~1.61M (still substantial holding).</w:t>
            </w:r>
          </w:p>
        </w:tc>
      </w:tr>
      <w:tr>
        <w:tc>
          <w:tcPr>
            <w:tcW w:type="dxa" w:w="1234"/>
          </w:tcPr>
          <w:p>
            <w:r>
              <w:rPr>
                <w:rFonts w:ascii="Calibri" w:hAnsi="Calibri"/>
                <w:sz w:val="22"/>
              </w:rPr>
              <w:t>Ahuja Amrita</w:t>
            </w:r>
          </w:p>
        </w:tc>
        <w:tc>
          <w:tcPr>
            <w:tcW w:type="dxa" w:w="1234"/>
          </w:tcPr>
          <w:p>
            <w:r>
              <w:rPr>
                <w:rFonts w:ascii="Calibri" w:hAnsi="Calibri"/>
                <w:sz w:val="22"/>
              </w:rPr>
              <w:t>CFO &amp; COO</w:t>
            </w:r>
          </w:p>
        </w:tc>
        <w:tc>
          <w:tcPr>
            <w:tcW w:type="dxa" w:w="1234"/>
          </w:tcPr>
          <w:p>
            <w:r>
              <w:rPr>
                <w:rFonts w:ascii="Calibri" w:hAnsi="Calibri"/>
                <w:sz w:val="22"/>
              </w:rPr>
              <w:t>10b5-1 Planned Sale</w:t>
            </w:r>
          </w:p>
        </w:tc>
        <w:tc>
          <w:tcPr>
            <w:tcW w:type="dxa" w:w="1234"/>
          </w:tcPr>
          <w:p>
            <w:r>
              <w:rPr>
                <w:rFonts w:ascii="Calibri" w:hAnsi="Calibri"/>
                <w:sz w:val="22"/>
              </w:rPr>
              <w:t>11,076 (Jun 16); 8,093 (Jun 16 filing)</w:t>
            </w:r>
          </w:p>
        </w:tc>
        <w:tc>
          <w:tcPr>
            <w:tcW w:type="dxa" w:w="1234"/>
          </w:tcPr>
          <w:p>
            <w:r>
              <w:rPr>
                <w:rFonts w:ascii="Calibri" w:hAnsi="Calibri"/>
                <w:sz w:val="22"/>
              </w:rPr>
              <w:t>Jun 1, 2026; Jun 16, 2026</w:t>
            </w:r>
          </w:p>
        </w:tc>
        <w:tc>
          <w:tcPr>
            <w:tcW w:type="dxa" w:w="1234"/>
          </w:tcPr>
          <w:p>
            <w:r>
              <w:rPr>
                <w:rFonts w:ascii="Calibri" w:hAnsi="Calibri"/>
                <w:sz w:val="22"/>
              </w:rPr>
              <w:t>Jun 3, 2026; Jun 18, 2026</w:t>
            </w:r>
          </w:p>
        </w:tc>
        <w:tc>
          <w:tcPr>
            <w:tcW w:type="dxa" w:w="1234"/>
          </w:tcPr>
          <w:p>
            <w:r>
              <w:rPr>
                <w:rFonts w:ascii="Calibri" w:hAnsi="Calibri"/>
                <w:sz w:val="22"/>
              </w:rPr>
              <w:t>Both sales under 10b5-1 plan. Shares owned post-period: ~463K–471K. Routine plan-driven sales; no discretionary signal.</w:t>
            </w:r>
          </w:p>
        </w:tc>
      </w:tr>
      <w:tr>
        <w:tc>
          <w:tcPr>
            <w:tcW w:type="dxa" w:w="1234"/>
          </w:tcPr>
          <w:p>
            <w:r>
              <w:rPr>
                <w:rFonts w:ascii="Calibri" w:hAnsi="Calibri"/>
                <w:sz w:val="22"/>
              </w:rPr>
              <w:t>Grassadonia Brian</w:t>
            </w:r>
          </w:p>
        </w:tc>
        <w:tc>
          <w:tcPr>
            <w:tcW w:type="dxa" w:w="1234"/>
          </w:tcPr>
          <w:p>
            <w:r>
              <w:rPr>
                <w:rFonts w:ascii="Calibri" w:hAnsi="Calibri"/>
                <w:sz w:val="22"/>
              </w:rPr>
              <w:t>Ecosystem Lead</w:t>
            </w:r>
          </w:p>
        </w:tc>
        <w:tc>
          <w:tcPr>
            <w:tcW w:type="dxa" w:w="1234"/>
          </w:tcPr>
          <w:p>
            <w:r>
              <w:rPr>
                <w:rFonts w:ascii="Calibri" w:hAnsi="Calibri"/>
                <w:sz w:val="22"/>
              </w:rPr>
              <w:t>10b5-1 Planned Sale</w:t>
            </w:r>
          </w:p>
        </w:tc>
        <w:tc>
          <w:tcPr>
            <w:tcW w:type="dxa" w:w="1234"/>
          </w:tcPr>
          <w:p>
            <w:r>
              <w:rPr>
                <w:rFonts w:ascii="Calibri" w:hAnsi="Calibri"/>
                <w:sz w:val="22"/>
              </w:rPr>
              <w:t>43,348</w:t>
            </w:r>
          </w:p>
        </w:tc>
        <w:tc>
          <w:tcPr>
            <w:tcW w:type="dxa" w:w="1234"/>
          </w:tcPr>
          <w:p>
            <w:r>
              <w:rPr>
                <w:rFonts w:ascii="Calibri" w:hAnsi="Calibri"/>
                <w:sz w:val="22"/>
              </w:rPr>
              <w:t>Jul 2, 2026</w:t>
            </w:r>
          </w:p>
        </w:tc>
        <w:tc>
          <w:tcPr>
            <w:tcW w:type="dxa" w:w="1234"/>
          </w:tcPr>
          <w:p>
            <w:r>
              <w:rPr>
                <w:rFonts w:ascii="Calibri" w:hAnsi="Calibri"/>
                <w:sz w:val="22"/>
              </w:rPr>
              <w:t>Jul 7, 2026</w:t>
            </w:r>
          </w:p>
        </w:tc>
        <w:tc>
          <w:tcPr>
            <w:tcW w:type="dxa" w:w="1234"/>
          </w:tcPr>
          <w:p>
            <w:r>
              <w:rPr>
                <w:rFonts w:ascii="Calibri" w:hAnsi="Calibri"/>
                <w:sz w:val="22"/>
              </w:rPr>
              <w:t>Sale under 10b5-1 plan. Shares owned post-period: ~557,654. Routine plan-driven sale.</w:t>
            </w:r>
          </w:p>
        </w:tc>
      </w:tr>
      <w:tr>
        <w:tc>
          <w:tcPr>
            <w:tcW w:type="dxa" w:w="1234"/>
          </w:tcPr>
          <w:p>
            <w:r>
              <w:rPr>
                <w:rFonts w:ascii="Calibri" w:hAnsi="Calibri"/>
                <w:sz w:val="22"/>
              </w:rPr>
              <w:t>Jennings Owen Britton</w:t>
            </w:r>
          </w:p>
        </w:tc>
        <w:tc>
          <w:tcPr>
            <w:tcW w:type="dxa" w:w="1234"/>
          </w:tcPr>
          <w:p>
            <w:r>
              <w:rPr>
                <w:rFonts w:ascii="Calibri" w:hAnsi="Calibri"/>
                <w:sz w:val="22"/>
              </w:rPr>
              <w:t>Business Lead</w:t>
            </w:r>
          </w:p>
        </w:tc>
        <w:tc>
          <w:tcPr>
            <w:tcW w:type="dxa" w:w="1234"/>
          </w:tcPr>
          <w:p>
            <w:r>
              <w:rPr>
                <w:rFonts w:ascii="Calibri" w:hAnsi="Calibri"/>
                <w:sz w:val="22"/>
              </w:rPr>
              <w:t>10b5-1 Planned Sale</w:t>
            </w:r>
          </w:p>
        </w:tc>
        <w:tc>
          <w:tcPr>
            <w:tcW w:type="dxa" w:w="1234"/>
          </w:tcPr>
          <w:p>
            <w:r>
              <w:rPr>
                <w:rFonts w:ascii="Calibri" w:hAnsi="Calibri"/>
                <w:sz w:val="22"/>
              </w:rPr>
              <w:t>1,316</w:t>
            </w:r>
          </w:p>
        </w:tc>
        <w:tc>
          <w:tcPr>
            <w:tcW w:type="dxa" w:w="1234"/>
          </w:tcPr>
          <w:p>
            <w:r>
              <w:rPr>
                <w:rFonts w:ascii="Calibri" w:hAnsi="Calibri"/>
                <w:sz w:val="22"/>
              </w:rPr>
              <w:t>May 22, 2026</w:t>
            </w:r>
          </w:p>
        </w:tc>
        <w:tc>
          <w:tcPr>
            <w:tcW w:type="dxa" w:w="1234"/>
          </w:tcPr>
          <w:p>
            <w:r>
              <w:rPr>
                <w:rFonts w:ascii="Calibri" w:hAnsi="Calibri"/>
                <w:sz w:val="22"/>
              </w:rPr>
              <w:t>May 27, 2026</w:t>
            </w:r>
          </w:p>
        </w:tc>
        <w:tc>
          <w:tcPr>
            <w:tcW w:type="dxa" w:w="1234"/>
          </w:tcPr>
          <w:p>
            <w:r>
              <w:rPr>
                <w:rFonts w:ascii="Calibri" w:hAnsi="Calibri"/>
                <w:sz w:val="22"/>
              </w:rPr>
              <w:t>Sale under 10b5-1 plan. Shares owned post-period: ~479,662. Small routine sale.</w:t>
            </w:r>
          </w:p>
        </w:tc>
      </w:tr>
    </w:tbl>
    <w:p>
      <w:r>
        <w:rPr>
          <w:rFonts w:ascii="Calibri" w:hAnsi="Calibri"/>
          <w:b/>
          <w:color w:val="525866"/>
          <w:sz w:val="22"/>
        </w:rPr>
        <w:t xml:space="preserve">Summary: </w:t>
      </w:r>
      <w:r>
        <w:rPr>
          <w:rFonts w:ascii="Calibri" w:hAnsi="Calibri"/>
          <w:color w:val="525866"/>
          <w:sz w:val="22"/>
        </w:rPr>
        <w:t>All 43 insider transactions filed since the Q1 2026 earnings date (May 7, 2026) are 10b5-1 plan-driven sales — zero discretionary open-market buys or sells. Eisen’s daily cadence of ~6,000 shares is a pre-planned liquidation program; the two larger tranches (135,750 shares on June 1 and 141,000 shares on July 15) are also plan-driven and do not represent discretionary selling decisions. The CFO/COO (Ahuja) and Ecosystem Lead (Grassadonia) each made one or two routine plan-driven sales. The complete absence of discretionary buying or selling is neutral — insiders are neither signaling concern nor conviction ahead of the print.</w:t>
      </w:r>
    </w:p>
    <w:p>
      <w:r>
        <w:rPr>
          <w:rFonts w:ascii="Calibri" w:hAnsi="Calibri"/>
          <w:i/>
          <w:color w:val="525866"/>
          <w:sz w:val="22"/>
        </w:rPr>
        <w:t>Source: SEC Form 4 filings database. Trade dates reflect effective transaction execution dates as reported on Form 4. Form 4 filing dates (disclosure dates) lag trade dates by 1–5 business days in most cases.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