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zbh-earnings-predictions--2026-08-05"/>
    <w:p>
      <w:pPr>
        <w:pStyle w:val="Heading1"/>
      </w:pPr>
      <w:r>
        <w:t xml:space="preserve">ZBH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~$2.14B vs. cons $2.13B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~$2.05 vs. cons $2.01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U.S. Knees Revenue Growth YoY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~1.0% vs. cons 1.9%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Constant-Currency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~2% (midpoint of reaffirmed 1%-3% range) vs. cons ~2%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~$8.48 (midpoint of</w:t>
            </w:r>
            <w:r>
              <w:t xml:space="preserve"> </w:t>
            </w:r>
            <m:oMath>
              <m:r>
                <m:t>8.40</m:t>
              </m:r>
              <m:r>
                <m:rPr>
                  <m:sty m:val="p"/>
                </m:rPr>
                <m:t>−</m:t>
              </m:r>
            </m:oMath>
            <w:r>
              <w:t xml:space="preserve">8.55) vs. cons ~$8.48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Operating Margin Sequential Improvement vs. Q2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~+50bps sequential vs. cons ~+50bps expected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-3.2% (FADE)</w:t>
            </w:r>
          </w:p>
        </w:tc>
        <w:tc>
          <w:tcPr/>
          <w:p>
            <w:pPr>
              <w:pStyle w:val="Compact"/>
            </w:pPr>
            <w:r>
              <w:t xml:space="preserve">Even with an EPS beat, the explicit -200bps Q2 margin guide, reaffirmed (not raised) FY organic growth range, fading tariff pull-forward benefit, ongoing CFO search, and softer U.S. knee/international trends leave sell-side models with more downside skew for H2 than upside. Analysts likely trim out-quarter margin/EPS estimates to reflect the guided Q3 sequential-only recovery and Section 232 tariff risk, causing initial relief (if EPS beats) to fade over the following days as estimate revisions catch down, consistent with the stock's recent run-up into the print raising the bar for sustained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2026-08-05T00:21:19Z</dcterms:created>
  <dcterms:modified xsi:type="dcterms:W3CDTF">2026-08-05T00:21:19Z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