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bh-earnings-predictions--2026-08-05"/>
    <w:p>
      <w:pPr>
        <w:pStyle w:val="Heading1"/>
      </w:pPr>
      <w:r>
        <w:t xml:space="preserve">ZBH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~$2.145B vs. cons $2.135B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~$2.04 vs. cons $2.01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~25.9% vs. cons 25.8%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~$8.53 midpoint vs. cons $8.49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Reported revenue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~3.5% midpoint vs. cons 3.9%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constant-currency revenue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~2.0% midpoint vs. cons 2.4%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~25.3% vs. cons 25.4%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-3.7% (FOLLOW-THROUGH)</w:t>
            </w:r>
          </w:p>
        </w:tc>
        <w:tc>
          <w:tcPr/>
          <w:p>
            <w:pPr>
              <w:pStyle w:val="Compact"/>
            </w:pPr>
            <w:r>
              <w:t xml:space="preserve">Despite Q2 adjusted EPS of ~$2.04 vs.</w:t>
            </w:r>
            <w:r>
              <w:t xml:space="preserve"> </w:t>
            </w:r>
            <m:oMath>
              <m:r>
                <m:t>2.01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n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8.53 vs. $8.49 consensus implies limited underlying upside after buybacks and leaves second-half organic growth and margin estimates vulnerable to downward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2026-08-05T00:22:12Z</dcterms:created>
  <dcterms:modified xsi:type="dcterms:W3CDTF">2026-08-05T00:22:12Z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