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c8a237bee00f465723c42183a86329c8b12ddcd"/>
    <w:p>
      <w:pPr>
        <w:pStyle w:val="Heading1"/>
      </w:pPr>
      <w:r>
        <w:t xml:space="preserve">Zimmer Biomet (ZBH)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Zimmer Biomet scheduled its Q2 release for</w:t>
      </w:r>
      <w:r>
        <w:t xml:space="preserve"> </w:t>
      </w:r>
      <w:r>
        <w:rPr>
          <w:b/>
          <w:bCs/>
        </w:rPr>
        <w:t xml:space="preserve">Wednesday, August 5, 2026, at 6:30 a.m. ET</w:t>
      </w:r>
      <w:r>
        <w:t xml:space="preserve">, followed by the earnings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. Thus, the announced reporting date is August 5—not tomorrow, August 6. (</w:t>
      </w:r>
      <w:hyperlink r:id="rId9">
        <w:r>
          <w:rPr>
            <w:rStyle w:val="Hyperlink"/>
          </w:rPr>
          <w:t xml:space="preserve">investor.zimmerbiomet.com</w:t>
        </w:r>
      </w:hyperlink>
      <w:r>
        <w:t xml:space="preserve">)</w:t>
      </w:r>
    </w:p>
    <w:bookmarkStart w:id="12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~$2.13B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$2.077B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~+2.5%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~-3%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~25.8% indicated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~-200 bps</w:t>
            </w:r>
          </w:p>
        </w:tc>
      </w:tr>
    </w:tbl>
    <w:p>
      <w:pPr>
        <w:pStyle w:val="BodyText"/>
      </w:pPr>
      <w:r>
        <w:t xml:space="preserve">Published consensus is approximately</w:t>
      </w:r>
      <w:r>
        <w:t xml:space="preserve"> </w:t>
      </w:r>
      <w:r>
        <w:rPr>
          <w:b/>
          <w:bCs/>
        </w:rPr>
        <w:t xml:space="preserve">$2.13 billion of revenue and $2.01 of adjusted EPS</w:t>
      </w:r>
      <w:r>
        <w:t xml:space="preserve">, although estimate aggregators vary slightly. (</w:t>
      </w:r>
      <w:hyperlink r:id="rId10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Zimmer Biomet entered the quarter with full-year guidance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Reported revenue growth:</w:t>
      </w:r>
      <w:r>
        <w:t xml:space="preserve"> </w:t>
      </w:r>
      <w:r>
        <w:t xml:space="preserve">2.5%–4.5%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constant-currency growth:</w:t>
      </w:r>
      <w:r>
        <w:t xml:space="preserve"> </w:t>
      </w:r>
      <w:r>
        <w:t xml:space="preserve">1%–3%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t xml:space="preserve">8.55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Free-cash-flow growth:</w:t>
      </w:r>
      <w:r>
        <w:t xml:space="preserve"> </w:t>
      </w:r>
      <w:r>
        <w:t xml:space="preserve">9%–11%</w:t>
      </w:r>
    </w:p>
    <w:p>
      <w:pPr>
        <w:pStyle w:val="FirstParagraph"/>
      </w:pPr>
      <w:r>
        <w:t xml:space="preserve">Q1 organic constant-currency growth was 2.9%, while adjusted EPS of $2.09 benefited by roughly $0.20 from tariff-related items. Management raised annual EPS guidance by $0.10 but left revenue guidance unchanged. (</w:t>
      </w:r>
      <w:hyperlink r:id="rId11">
        <w:r>
          <w:rPr>
            <w:rStyle w:val="Hyperlink"/>
          </w:rPr>
          <w:t xml:space="preserve">investor.zimmerbiomet.com</w:t>
        </w:r>
      </w:hyperlink>
      <w:r>
        <w:t xml:space="preserve">)</w:t>
      </w:r>
    </w:p>
    <w:bookmarkEnd w:id="12"/>
    <w:bookmarkStart w:id="13" w:name="Xebb19d89c3b724cb165c662a7f6f472101700cb"/>
    <w:p>
      <w:pPr>
        <w:pStyle w:val="Heading2"/>
      </w:pPr>
      <w:r>
        <w:t xml:space="preserve">The central question: is the commercial transition beginning to work?</w:t>
      </w:r>
    </w:p>
    <w:p>
      <w:pPr>
        <w:pStyle w:val="FirstParagraph"/>
      </w:pPr>
      <w:r>
        <w:t xml:space="preserve">This report is less about whether ZBH beats EPS by a few cents and more about whether its</w:t>
      </w:r>
      <w:r>
        <w:t xml:space="preserve"> </w:t>
      </w:r>
      <w:r>
        <w:rPr>
          <w:b/>
          <w:bCs/>
        </w:rPr>
        <w:t xml:space="preserve">U.S. sales-force transformation is producing better underlying implant growth without creating excessive disruption</w:t>
      </w:r>
      <w:r>
        <w:t xml:space="preserve">.</w:t>
      </w:r>
    </w:p>
    <w:p>
      <w:pPr>
        <w:pStyle w:val="BodyText"/>
      </w:pPr>
      <w:r>
        <w:t xml:space="preserve">Management is shifting representatives toward dedicated, specialized coverage and expects the project to run through the end of 2027. At the end of Q1:</w:t>
      </w:r>
    </w:p>
    <w:p>
      <w:pPr>
        <w:pStyle w:val="Compact"/>
        <w:numPr>
          <w:ilvl w:val="0"/>
          <w:numId w:val="1002"/>
        </w:numPr>
      </w:pPr>
      <w:r>
        <w:t xml:space="preserve">The proportion of non-dedicated U.S. representatives had fallen from roughly 66% to below 60%.</w:t>
      </w:r>
    </w:p>
    <w:p>
      <w:pPr>
        <w:pStyle w:val="Compact"/>
        <w:numPr>
          <w:ilvl w:val="0"/>
          <w:numId w:val="1002"/>
        </w:numPr>
      </w:pPr>
      <w:r>
        <w:t xml:space="preserve">Specialized representatives had increased from approximately 25% of the sales force toward 30%.</w:t>
      </w:r>
    </w:p>
    <w:p>
      <w:pPr>
        <w:pStyle w:val="Compact"/>
        <w:numPr>
          <w:ilvl w:val="0"/>
          <w:numId w:val="1002"/>
        </w:numPr>
      </w:pPr>
      <w:r>
        <w:t xml:space="preserve">Employee turnover remained in the single digits, better than the company’s 12% ceiling.</w:t>
      </w:r>
    </w:p>
    <w:p>
      <w:pPr>
        <w:pStyle w:val="Compact"/>
        <w:numPr>
          <w:ilvl w:val="0"/>
          <w:numId w:val="1002"/>
        </w:numPr>
      </w:pPr>
      <w:r>
        <w:t xml:space="preserve">Converted territories were showing higher case productivity.</w:t>
      </w:r>
    </w:p>
    <w:p>
      <w:pPr>
        <w:pStyle w:val="FirstParagraph"/>
      </w:pPr>
      <w:r>
        <w:t xml:space="preserve">Those operational indicators were encouraging, but Q1 U.S. knee growth of only</w:t>
      </w:r>
      <w:r>
        <w:t xml:space="preserve"> </w:t>
      </w:r>
      <w:r>
        <w:rPr>
          <w:b/>
          <w:bCs/>
        </w:rPr>
        <w:t xml:space="preserve">2.2%</w:t>
      </w:r>
      <w:r>
        <w:t xml:space="preserve"> </w:t>
      </w:r>
      <w:r>
        <w:t xml:space="preserve">remained below the approximately 4%–4.5% reconstructive market growth rate cited by management. Investors will want evidence that the transition is now improving reported sales—not merely internal productivity statistics.</w:t>
      </w:r>
    </w:p>
    <w:bookmarkEnd w:id="13"/>
    <w:bookmarkStart w:id="18" w:name="what-matters-most-in-the-quarter"/>
    <w:p>
      <w:pPr>
        <w:pStyle w:val="Heading2"/>
      </w:pPr>
      <w:r>
        <w:t xml:space="preserve">What matters most in the quarter</w:t>
      </w:r>
    </w:p>
    <w:bookmarkStart w:id="14" w:name="X8ccbefd2d7380a23d6d329c09823779ad9e4675"/>
    <w:p>
      <w:pPr>
        <w:pStyle w:val="Heading3"/>
      </w:pPr>
      <w:r>
        <w:t xml:space="preserve">1. U.S. knees need to accelerate</w:t>
      </w:r>
    </w:p>
    <w:p>
      <w:pPr>
        <w:pStyle w:val="FirstParagraph"/>
      </w:pPr>
      <w:r>
        <w:t xml:space="preserve">Knees are the most important swing factor. Q1 growth was constrained by:</w:t>
      </w:r>
    </w:p>
    <w:p>
      <w:pPr>
        <w:pStyle w:val="Compact"/>
        <w:numPr>
          <w:ilvl w:val="0"/>
          <w:numId w:val="1003"/>
        </w:numPr>
      </w:pPr>
      <w:r>
        <w:t xml:space="preserve">Disruption from the commercial reorganization</w:t>
      </w:r>
    </w:p>
    <w:p>
      <w:pPr>
        <w:pStyle w:val="Compact"/>
        <w:numPr>
          <w:ilvl w:val="0"/>
          <w:numId w:val="1003"/>
        </w:numPr>
      </w:pPr>
      <w:r>
        <w:t xml:space="preserve">Loss of two meaningful customer accounts</w:t>
      </w:r>
    </w:p>
    <w:p>
      <w:pPr>
        <w:pStyle w:val="Compact"/>
        <w:numPr>
          <w:ilvl w:val="0"/>
          <w:numId w:val="1003"/>
        </w:numPr>
      </w:pPr>
      <w:r>
        <w:t xml:space="preserve">A West Coast hospital strike</w:t>
      </w:r>
    </w:p>
    <w:p>
      <w:pPr>
        <w:pStyle w:val="Compact"/>
        <w:numPr>
          <w:ilvl w:val="0"/>
          <w:numId w:val="1003"/>
        </w:numPr>
      </w:pPr>
      <w:r>
        <w:t xml:space="preserve">The transition away from legacy NexGen and Vanguard products toward Persona</w:t>
      </w:r>
    </w:p>
    <w:p>
      <w:pPr>
        <w:pStyle w:val="Compact"/>
        <w:numPr>
          <w:ilvl w:val="0"/>
          <w:numId w:val="1003"/>
        </w:numPr>
      </w:pPr>
      <w:r>
        <w:t xml:space="preserve">Tough competition from robotic and cementless-knee platforms</w:t>
      </w:r>
    </w:p>
    <w:p>
      <w:pPr>
        <w:pStyle w:val="FirstParagraph"/>
      </w:pPr>
      <w:r>
        <w:t xml:space="preserve">Partial knees were a bright spot, with Oxford Partial Cementless sales rising more than 20%, but that was not enough to produce market-level growth for the overall U.S. knee franchise.</w:t>
      </w:r>
    </w:p>
    <w:p>
      <w:pPr>
        <w:pStyle w:val="BodyText"/>
      </w:pPr>
      <w:r>
        <w:t xml:space="preserve">A credible Q2 result should show</w:t>
      </w:r>
      <w:r>
        <w:t xml:space="preserve"> </w:t>
      </w:r>
      <w:r>
        <w:rPr>
          <w:b/>
          <w:bCs/>
        </w:rPr>
        <w:t xml:space="preserve">U.S. knee growth moving above Q1’s 2.2%</w:t>
      </w:r>
      <w:r>
        <w:t xml:space="preserve">, accompanied by evidence that ROSA placements and new account conversions are pulling through implant utilization. Another materially below-market quarter would raise doubts about management’s expectation for better second-half performance.</w:t>
      </w:r>
    </w:p>
    <w:bookmarkEnd w:id="14"/>
    <w:bookmarkStart w:id="15" w:name="Xdd76fd79dad564bab3789462c4e7bb13e67f869"/>
    <w:p>
      <w:pPr>
        <w:pStyle w:val="Heading3"/>
      </w:pPr>
      <w:r>
        <w:t xml:space="preserve">2. Hips and technology should remain the relative strengths</w:t>
      </w:r>
    </w:p>
    <w:p>
      <w:pPr>
        <w:pStyle w:val="FirstParagraph"/>
      </w:pPr>
      <w:r>
        <w:t xml:space="preserve">U.S. hips grew 5% organically in Q1, supported by the Z1 stem, OrthoGrid navigation and HAMMR impactor. Z1 already represented almost 40% of U.S. hip stems, suggesting that the company’s “hip triple-play” strategy has real momentum.</w:t>
      </w:r>
    </w:p>
    <w:p>
      <w:pPr>
        <w:pStyle w:val="BodyText"/>
      </w:pPr>
      <w:r>
        <w:t xml:space="preserve">Technology and Data, Bone Cement and Surgical grew 11.7% organically in Q1, with underlying robotics growth closer to 30%. The comparison is easier in Q2: the category declined 2.2% organically in Q2 2025.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Capital-equipment sales</w:t>
      </w:r>
      <w:r>
        <w:t xml:space="preserve">, which can be volatile and influenced by shipment timing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Utilization and implant pull-through</w:t>
      </w:r>
      <w:r>
        <w:t xml:space="preserve">, which provide better evidence of durable share gains</w:t>
      </w:r>
    </w:p>
    <w:p>
      <w:pPr>
        <w:pStyle w:val="FirstParagraph"/>
      </w:pPr>
      <w:r>
        <w:t xml:space="preserve">Strong ROSA or TMINI placements are positive, but they become much more valuable if management can quantify subsequent knee and hip conversion.</w:t>
      </w:r>
    </w:p>
    <w:bookmarkEnd w:id="15"/>
    <w:bookmarkStart w:id="16" w:name="X8d2f04e2a2022d455543819eba775b204cad557"/>
    <w:p>
      <w:pPr>
        <w:pStyle w:val="Heading3"/>
      </w:pPr>
      <w:r>
        <w:t xml:space="preserve">3. Paragon 28 should be returning to double-digit growth</w:t>
      </w:r>
    </w:p>
    <w:p>
      <w:pPr>
        <w:pStyle w:val="FirstParagraph"/>
      </w:pPr>
      <w:r>
        <w:t xml:space="preserve">Paragon 28 is central to ZBH’s diversification beyond large joints. Management said the foot-and-ankle business was nearly back to double-digit growth in Q1 and had entered Q2 growing in the teens.</w:t>
      </w:r>
    </w:p>
    <w:p>
      <w:pPr>
        <w:pStyle w:val="BodyText"/>
      </w:pPr>
      <w:r>
        <w:t xml:space="preserve">That creates a relatively high bar. Investors should look for:</w:t>
      </w:r>
    </w:p>
    <w:p>
      <w:pPr>
        <w:pStyle w:val="Compact"/>
        <w:numPr>
          <w:ilvl w:val="0"/>
          <w:numId w:val="1005"/>
        </w:numPr>
      </w:pPr>
      <w:r>
        <w:t xml:space="preserve">Sustained double-digit growth</w:t>
      </w:r>
    </w:p>
    <w:p>
      <w:pPr>
        <w:pStyle w:val="Compact"/>
        <w:numPr>
          <w:ilvl w:val="0"/>
          <w:numId w:val="1005"/>
        </w:numPr>
      </w:pPr>
      <w:r>
        <w:t xml:space="preserve">Continued sales-force hiring without integration disruption</w:t>
      </w:r>
    </w:p>
    <w:p>
      <w:pPr>
        <w:pStyle w:val="Compact"/>
        <w:numPr>
          <w:ilvl w:val="0"/>
          <w:numId w:val="1005"/>
        </w:numPr>
      </w:pPr>
      <w:r>
        <w:t xml:space="preserve">New-product contribution</w:t>
      </w:r>
    </w:p>
    <w:p>
      <w:pPr>
        <w:pStyle w:val="Compact"/>
        <w:numPr>
          <w:ilvl w:val="0"/>
          <w:numId w:val="1005"/>
        </w:numPr>
      </w:pPr>
      <w:r>
        <w:t xml:space="preserve">Evidence that margin dilution is progressing as planned</w:t>
      </w:r>
    </w:p>
    <w:p>
      <w:pPr>
        <w:pStyle w:val="FirstParagraph"/>
      </w:pPr>
      <w:r>
        <w:t xml:space="preserve">Because the acquisition closed in April 2025, most of Paragon’s growth is now entering the organic comparison. That makes the reported-versus-organic bridge less flattering but gives investors a cleaner look at the acquired business’s underlying performance.</w:t>
      </w:r>
    </w:p>
    <w:bookmarkEnd w:id="16"/>
    <w:bookmarkStart w:id="17" w:name="Xab9b20060cc3eaeeff9663f430f312abc279f1f"/>
    <w:p>
      <w:pPr>
        <w:pStyle w:val="Heading3"/>
      </w:pPr>
      <w:r>
        <w:t xml:space="preserve">4. International growth should begin improving</w:t>
      </w:r>
    </w:p>
    <w:p>
      <w:pPr>
        <w:pStyle w:val="FirstParagraph"/>
      </w:pPr>
      <w:r>
        <w:t xml:space="preserve">Q1 international organic growth was 2.5%, affected by distributor changes in China, Europe, the Middle East and other emerging markets. Management expected international growth to improve toward the mid-single digits during the second half.</w:t>
      </w:r>
    </w:p>
    <w:p>
      <w:pPr>
        <w:pStyle w:val="BodyText"/>
      </w:pPr>
      <w:r>
        <w:t xml:space="preserve">Q2 does not necessarily need to reach that level, but investors should expect:</w:t>
      </w:r>
    </w:p>
    <w:p>
      <w:pPr>
        <w:pStyle w:val="Compact"/>
        <w:numPr>
          <w:ilvl w:val="0"/>
          <w:numId w:val="1006"/>
        </w:numPr>
      </w:pPr>
      <w:r>
        <w:t xml:space="preserve">Stabilization in distributor transitions</w:t>
      </w:r>
    </w:p>
    <w:p>
      <w:pPr>
        <w:pStyle w:val="Compact"/>
        <w:numPr>
          <w:ilvl w:val="0"/>
          <w:numId w:val="1006"/>
        </w:numPr>
      </w:pPr>
      <w:r>
        <w:t xml:space="preserve">Better international knee and hip growth</w:t>
      </w:r>
    </w:p>
    <w:p>
      <w:pPr>
        <w:pStyle w:val="Compact"/>
        <w:numPr>
          <w:ilvl w:val="0"/>
          <w:numId w:val="1006"/>
        </w:numPr>
      </w:pPr>
      <w:r>
        <w:t xml:space="preserve">Continued iodine-coated hip adoption in Japan</w:t>
      </w:r>
    </w:p>
    <w:p>
      <w:pPr>
        <w:pStyle w:val="Compact"/>
        <w:numPr>
          <w:ilvl w:val="0"/>
          <w:numId w:val="1006"/>
        </w:numPr>
      </w:pPr>
      <w:r>
        <w:t xml:space="preserve">No material supply or freight disruption from geopolitical conditions</w:t>
      </w:r>
    </w:p>
    <w:p>
      <w:pPr>
        <w:pStyle w:val="FirstParagraph"/>
      </w:pPr>
      <w:r>
        <w:t xml:space="preserve">A further slowdown would make the second-half acceleration embedded in management’s commentary harder to achieve.</w:t>
      </w:r>
    </w:p>
    <w:bookmarkEnd w:id="17"/>
    <w:bookmarkEnd w:id="18"/>
    <w:bookmarkStart w:id="19" w:name="X2c38b33cd1da734d175b81377a5c3de04b9b839"/>
    <w:p>
      <w:pPr>
        <w:pStyle w:val="Heading2"/>
      </w:pPr>
      <w:r>
        <w:t xml:space="preserve">Margin pressure is expected—but its quality matters</w:t>
      </w:r>
    </w:p>
    <w:p>
      <w:pPr>
        <w:pStyle w:val="FirstParagraph"/>
      </w:pPr>
      <w:r>
        <w:t xml:space="preserve">Management explicitly guided Q2 adjusted operating margin to decline approximately</w:t>
      </w:r>
      <w:r>
        <w:t xml:space="preserve"> </w:t>
      </w:r>
      <w:r>
        <w:rPr>
          <w:b/>
          <w:bCs/>
        </w:rPr>
        <w:t xml:space="preserve">200 basis points year over year</w:t>
      </w:r>
      <w:r>
        <w:t xml:space="preserve">, implying roughly</w:t>
      </w:r>
      <w:r>
        <w:t xml:space="preserve"> </w:t>
      </w:r>
      <w:r>
        <w:rPr>
          <w:b/>
          <w:bCs/>
        </w:rPr>
        <w:t xml:space="preserve">25.8%</w:t>
      </w:r>
      <w:r>
        <w:t xml:space="preserve"> </w:t>
      </w:r>
      <w:r>
        <w:t xml:space="preserve">versus 27.8% in Q2 2025.</w:t>
      </w:r>
    </w:p>
    <w:p>
      <w:pPr>
        <w:pStyle w:val="BodyText"/>
      </w:pPr>
      <w:r>
        <w:t xml:space="preserve">The decline reflects:</w:t>
      </w:r>
    </w:p>
    <w:p>
      <w:pPr>
        <w:pStyle w:val="Compact"/>
        <w:numPr>
          <w:ilvl w:val="0"/>
          <w:numId w:val="1007"/>
        </w:numPr>
      </w:pPr>
      <w:r>
        <w:t xml:space="preserve">U.S. commercial-channel investments</w:t>
      </w:r>
    </w:p>
    <w:p>
      <w:pPr>
        <w:pStyle w:val="Compact"/>
        <w:numPr>
          <w:ilvl w:val="0"/>
          <w:numId w:val="1007"/>
        </w:numPr>
      </w:pPr>
      <w:r>
        <w:t xml:space="preserve">Paragon 28 dilution</w:t>
      </w:r>
    </w:p>
    <w:p>
      <w:pPr>
        <w:pStyle w:val="Compact"/>
        <w:numPr>
          <w:ilvl w:val="0"/>
          <w:numId w:val="1007"/>
        </w:numPr>
      </w:pPr>
      <w:r>
        <w:t xml:space="preserve">Higher spending ahead of the mBôs launch</w:t>
      </w:r>
    </w:p>
    <w:p>
      <w:pPr>
        <w:pStyle w:val="Compact"/>
        <w:numPr>
          <w:ilvl w:val="0"/>
          <w:numId w:val="1007"/>
        </w:numPr>
      </w:pPr>
      <w:r>
        <w:t xml:space="preserve">Product and geographic mix</w:t>
      </w:r>
    </w:p>
    <w:p>
      <w:pPr>
        <w:pStyle w:val="Compact"/>
        <w:numPr>
          <w:ilvl w:val="0"/>
          <w:numId w:val="1007"/>
        </w:numPr>
      </w:pPr>
      <w:r>
        <w:t xml:space="preserve">The absence of some Q1 tariff benefits</w:t>
      </w:r>
    </w:p>
    <w:p>
      <w:pPr>
        <w:pStyle w:val="FirstParagraph"/>
      </w:pPr>
      <w:r>
        <w:t xml:space="preserve">The relevant question is therefore not whether margins decline, but whether the decline is</w:t>
      </w:r>
      <w:r>
        <w:t xml:space="preserve"> </w:t>
      </w:r>
      <w:r>
        <w:rPr>
          <w:b/>
          <w:bCs/>
        </w:rPr>
        <w:t xml:space="preserve">contained and productive</w:t>
      </w:r>
      <w:r>
        <w:t xml:space="preserve">.</w:t>
      </w:r>
    </w:p>
    <w:p>
      <w:pPr>
        <w:pStyle w:val="BodyText"/>
      </w:pPr>
      <w:r>
        <w:t xml:space="preserve">A margin near or above 25.8%, paired with improving implant growth, would support the argument that 2026 is a deliberate investment year. A weaker margin with no improvement in knees would suggest ZBH is absorbing the cost of the transition before receiving the revenue benefit.</w:t>
      </w:r>
    </w:p>
    <w:p>
      <w:pPr>
        <w:pStyle w:val="BodyText"/>
      </w:pPr>
      <w:r>
        <w:t xml:space="preserve">Management previously indicated that Q3 operating margin could decline another approximately 50 basis points sequentially from Q2. Any change to that cadence will be important for second-half EPS estimates.</w:t>
      </w:r>
    </w:p>
    <w:bookmarkEnd w:id="19"/>
    <w:bookmarkStart w:id="20" w:name="X86bf8930424c40b19564bb12f1815c95b5922cd"/>
    <w:p>
      <w:pPr>
        <w:pStyle w:val="Heading2"/>
      </w:pPr>
      <w:r>
        <w:t xml:space="preserve">Guidance may matter more than the reported quarter</w:t>
      </w:r>
    </w:p>
    <w:p>
      <w:pPr>
        <w:pStyle w:val="FirstParagraph"/>
      </w:pPr>
      <w:r>
        <w:t xml:space="preserve">The current adjusted EPS range of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rPr>
          <w:b/>
          <w:bCs/>
        </w:rPr>
        <w:t xml:space="preserve">8.55</w:t>
      </w:r>
      <w:r>
        <w:t xml:space="preserve"> </w:t>
      </w:r>
      <w:r>
        <w:t xml:space="preserve">has a midpoint of $8.48, almost exactly in line with published full-year consensus. That leaves little room for a merely mechanical guidance increase.</w:t>
      </w:r>
    </w:p>
    <w:p>
      <w:pPr>
        <w:pStyle w:val="BodyText"/>
      </w:pPr>
      <w:r>
        <w:t xml:space="preserve">A constructive update would include some combination of:</w:t>
      </w:r>
    </w:p>
    <w:p>
      <w:pPr>
        <w:pStyle w:val="Compact"/>
        <w:numPr>
          <w:ilvl w:val="0"/>
          <w:numId w:val="1008"/>
        </w:numPr>
      </w:pPr>
      <w:r>
        <w:t xml:space="preserve">Organic revenue guidance moving toward the upper half of 1%–3%</w:t>
      </w:r>
    </w:p>
    <w:p>
      <w:pPr>
        <w:pStyle w:val="Compact"/>
        <w:numPr>
          <w:ilvl w:val="0"/>
          <w:numId w:val="1008"/>
        </w:numPr>
      </w:pPr>
      <w:r>
        <w:t xml:space="preserve">Higher reported revenue guidance due to currency</w:t>
      </w:r>
    </w:p>
    <w:p>
      <w:pPr>
        <w:pStyle w:val="Compact"/>
        <w:numPr>
          <w:ilvl w:val="0"/>
          <w:numId w:val="1008"/>
        </w:numPr>
      </w:pPr>
      <w:r>
        <w:t xml:space="preserve">Adjusted EPS guidance rising beyond the effect of additional repurchases</w:t>
      </w:r>
    </w:p>
    <w:p>
      <w:pPr>
        <w:pStyle w:val="Compact"/>
        <w:numPr>
          <w:ilvl w:val="0"/>
          <w:numId w:val="1008"/>
        </w:numPr>
      </w:pPr>
      <w:r>
        <w:t xml:space="preserve">Better margin expectations</w:t>
      </w:r>
    </w:p>
    <w:p>
      <w:pPr>
        <w:pStyle w:val="Compact"/>
        <w:numPr>
          <w:ilvl w:val="0"/>
          <w:numId w:val="1008"/>
        </w:numPr>
      </w:pPr>
      <w:r>
        <w:t xml:space="preserve">Reaffirmation or improvement of 9%–11% free-cash-flow growth</w:t>
      </w:r>
    </w:p>
    <w:p>
      <w:pPr>
        <w:pStyle w:val="FirstParagraph"/>
      </w:pPr>
      <w:r>
        <w:t xml:space="preserve">After Q1, ZBH increased its anticipated 2026 share repurchases from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a</m:t>
        </m:r>
        <m:r>
          <m:t>s</m:t>
        </m:r>
        <m:r>
          <m:t>m</m:t>
        </m:r>
        <m:r>
          <m:t>u</m:t>
        </m:r>
        <m:r>
          <m:t>c</m:t>
        </m:r>
        <m:r>
          <m:t>h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 billion**. That should support EPS, but investors will likely place more value on an operating-driven raise than on one primarily caused by a lower share count. (</w:t>
      </w:r>
      <w:hyperlink r:id="rId9">
        <w:r>
          <w:rPr>
            <w:rStyle w:val="Hyperlink"/>
          </w:rPr>
          <w:t xml:space="preserve">investor.zimmerbiomet.com</w:t>
        </w:r>
      </w:hyperlink>
      <w:r>
        <w:t xml:space="preserve">)</w:t>
      </w:r>
    </w:p>
    <w:bookmarkEnd w:id="20"/>
    <w:bookmarkStart w:id="23" w:name="additional-call-topics"/>
    <w:p>
      <w:pPr>
        <w:pStyle w:val="Heading2"/>
      </w:pPr>
      <w:r>
        <w:t xml:space="preserve">Additional call topics</w:t>
      </w:r>
    </w:p>
    <w:bookmarkStart w:id="21" w:name="cfo-transition"/>
    <w:p>
      <w:pPr>
        <w:pStyle w:val="Heading3"/>
      </w:pPr>
      <w:r>
        <w:t xml:space="preserve">CFO transition</w:t>
      </w:r>
    </w:p>
    <w:p>
      <w:pPr>
        <w:pStyle w:val="FirstParagraph"/>
      </w:pPr>
      <w:r>
        <w:t xml:space="preserve">This is the first earnings cycle following Suketu Upadhyay’s departure and Paul Stellato’s appointment as interim CFO. Investors will evaluate the continuity of financial communication, particularly around:</w:t>
      </w:r>
    </w:p>
    <w:p>
      <w:pPr>
        <w:pStyle w:val="Compact"/>
        <w:numPr>
          <w:ilvl w:val="0"/>
          <w:numId w:val="1009"/>
        </w:numPr>
      </w:pPr>
      <w:r>
        <w:t xml:space="preserve">Margin cadence</w:t>
      </w:r>
    </w:p>
    <w:p>
      <w:pPr>
        <w:pStyle w:val="Compact"/>
        <w:numPr>
          <w:ilvl w:val="0"/>
          <w:numId w:val="1009"/>
        </w:numPr>
      </w:pPr>
      <w:r>
        <w:t xml:space="preserve">Tariff assumptions</w:t>
      </w:r>
    </w:p>
    <w:p>
      <w:pPr>
        <w:pStyle w:val="Compact"/>
        <w:numPr>
          <w:ilvl w:val="0"/>
          <w:numId w:val="1009"/>
        </w:numPr>
      </w:pPr>
      <w:r>
        <w:t xml:space="preserve">Capital allocation</w:t>
      </w:r>
    </w:p>
    <w:p>
      <w:pPr>
        <w:pStyle w:val="Compact"/>
        <w:numPr>
          <w:ilvl w:val="0"/>
          <w:numId w:val="1009"/>
        </w:numPr>
      </w:pPr>
      <w:r>
        <w:t xml:space="preserve">Debt reduction versus repurchases</w:t>
      </w:r>
    </w:p>
    <w:p>
      <w:pPr>
        <w:pStyle w:val="Compact"/>
        <w:numPr>
          <w:ilvl w:val="0"/>
          <w:numId w:val="1009"/>
        </w:numPr>
      </w:pPr>
      <w:r>
        <w:t xml:space="preserve">Free-cash-flow conversion</w:t>
      </w:r>
    </w:p>
    <w:p>
      <w:pPr>
        <w:pStyle w:val="FirstParagraph"/>
      </w:pPr>
      <w:r>
        <w:t xml:space="preserve">ZBH ended Q1 with approximately</w:t>
      </w:r>
      <w:r>
        <w:t xml:space="preserve"> </w:t>
      </w:r>
      <w:r>
        <w:rPr>
          <w:b/>
          <w:bCs/>
        </w:rPr>
        <w:t xml:space="preserve">$7.05 billion of net debt</w:t>
      </w:r>
      <w:r>
        <w:t xml:space="preserve">, so the decision to expand repurchases increases the importance of consistent cash generation.</w:t>
      </w:r>
    </w:p>
    <w:bookmarkEnd w:id="21"/>
    <w:bookmarkStart w:id="22" w:name="mbôs-regulatory-timeline"/>
    <w:p>
      <w:pPr>
        <w:pStyle w:val="Heading3"/>
      </w:pPr>
      <w:r>
        <w:t xml:space="preserve">mBôs regulatory timeline</w:t>
      </w:r>
    </w:p>
    <w:p>
      <w:pPr>
        <w:pStyle w:val="FirstParagraph"/>
      </w:pPr>
      <w:r>
        <w:t xml:space="preserve">Management had expected:</w:t>
      </w:r>
    </w:p>
    <w:p>
      <w:pPr>
        <w:pStyle w:val="Compact"/>
        <w:numPr>
          <w:ilvl w:val="0"/>
          <w:numId w:val="1010"/>
        </w:numPr>
      </w:pPr>
      <w:r>
        <w:t xml:space="preserve">Submission following completion of the clinical trial</w:t>
      </w:r>
    </w:p>
    <w:p>
      <w:pPr>
        <w:pStyle w:val="Compact"/>
        <w:numPr>
          <w:ilvl w:val="0"/>
          <w:numId w:val="1010"/>
        </w:numPr>
      </w:pPr>
      <w:r>
        <w:t xml:space="preserve">U.S. approval and launch of the semi-autonomous version in early 2027</w:t>
      </w:r>
    </w:p>
    <w:p>
      <w:pPr>
        <w:pStyle w:val="Compact"/>
        <w:numPr>
          <w:ilvl w:val="0"/>
          <w:numId w:val="1010"/>
        </w:numPr>
      </w:pPr>
      <w:r>
        <w:t xml:space="preserve">Fully autonomous functionality in late 2027 or early 2028</w:t>
      </w:r>
    </w:p>
    <w:p>
      <w:pPr>
        <w:pStyle w:val="Compact"/>
        <w:numPr>
          <w:ilvl w:val="0"/>
          <w:numId w:val="1010"/>
        </w:numPr>
      </w:pPr>
      <w:r>
        <w:t xml:space="preserve">More than 200 dedicated robotic clinical representatives by the end of 2027</w:t>
      </w:r>
    </w:p>
    <w:p>
      <w:pPr>
        <w:pStyle w:val="FirstParagraph"/>
      </w:pPr>
      <w:r>
        <w:t xml:space="preserve">Investors should listen for any change in submission timing, FDA interaction or commercial-launch preparation. The product is strategically important, but additional investment could pressure near-term margins before contributing meaningful revenue.</w:t>
      </w:r>
    </w:p>
    <w:bookmarkEnd w:id="22"/>
    <w:bookmarkEnd w:id="23"/>
    <w:bookmarkStart w:id="27" w:name="scenario-framework"/>
    <w:p>
      <w:pPr>
        <w:pStyle w:val="Heading2"/>
      </w:pPr>
      <w:r>
        <w:t xml:space="preserve">Scenario framework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Revenue comfortably above $2.13 billion</w:t>
      </w:r>
    </w:p>
    <w:p>
      <w:pPr>
        <w:pStyle w:val="Compact"/>
        <w:numPr>
          <w:ilvl w:val="0"/>
          <w:numId w:val="1011"/>
        </w:numPr>
      </w:pPr>
      <w:r>
        <w:t xml:space="preserve">Organic growth at or above 3%</w:t>
      </w:r>
    </w:p>
    <w:p>
      <w:pPr>
        <w:pStyle w:val="Compact"/>
        <w:numPr>
          <w:ilvl w:val="0"/>
          <w:numId w:val="1011"/>
        </w:numPr>
      </w:pPr>
      <w:r>
        <w:t xml:space="preserve">Clear acceleration in U.S. knees</w:t>
      </w:r>
    </w:p>
    <w:p>
      <w:pPr>
        <w:pStyle w:val="Compact"/>
        <w:numPr>
          <w:ilvl w:val="0"/>
          <w:numId w:val="1011"/>
        </w:numPr>
      </w:pPr>
      <w:r>
        <w:t xml:space="preserve">Continued 5%-plus U.S. hip growth</w:t>
      </w:r>
    </w:p>
    <w:p>
      <w:pPr>
        <w:pStyle w:val="Compact"/>
        <w:numPr>
          <w:ilvl w:val="0"/>
          <w:numId w:val="1011"/>
        </w:numPr>
      </w:pPr>
      <w:r>
        <w:t xml:space="preserve">Double-digit Paragon and technology growth</w:t>
      </w:r>
    </w:p>
    <w:p>
      <w:pPr>
        <w:pStyle w:val="Compact"/>
        <w:numPr>
          <w:ilvl w:val="0"/>
          <w:numId w:val="1011"/>
        </w:numPr>
      </w:pPr>
      <w:r>
        <w:t xml:space="preserve">Operating margin at or above approximately 25.8%</w:t>
      </w:r>
    </w:p>
    <w:p>
      <w:pPr>
        <w:pStyle w:val="Compact"/>
        <w:numPr>
          <w:ilvl w:val="0"/>
          <w:numId w:val="1011"/>
        </w:numPr>
      </w:pPr>
      <w:r>
        <w:t xml:space="preserve">Higher revenue, EPS or cash-flow guidance</w:t>
      </w:r>
    </w:p>
    <w:p>
      <w:pPr>
        <w:pStyle w:val="FirstParagraph"/>
      </w:pPr>
      <w:r>
        <w:t xml:space="preserve">This would suggest that the commercial transformation is working sooner than expected and that 2026 represents the earnings trough.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Revenue and EPS near consensus</w:t>
      </w:r>
    </w:p>
    <w:p>
      <w:pPr>
        <w:pStyle w:val="Compact"/>
        <w:numPr>
          <w:ilvl w:val="0"/>
          <w:numId w:val="1012"/>
        </w:numPr>
      </w:pPr>
      <w:r>
        <w:t xml:space="preserve">U.S. knees improve modestly but remain below market</w:t>
      </w:r>
    </w:p>
    <w:p>
      <w:pPr>
        <w:pStyle w:val="Compact"/>
        <w:numPr>
          <w:ilvl w:val="0"/>
          <w:numId w:val="1012"/>
        </w:numPr>
      </w:pPr>
      <w:r>
        <w:t xml:space="preserve">Hips, robotics and Paragon remain strong</w:t>
      </w:r>
    </w:p>
    <w:p>
      <w:pPr>
        <w:pStyle w:val="Compact"/>
        <w:numPr>
          <w:ilvl w:val="0"/>
          <w:numId w:val="1012"/>
        </w:numPr>
      </w:pPr>
      <w:r>
        <w:t xml:space="preserve">Margin lands near company expectations</w:t>
      </w:r>
    </w:p>
    <w:p>
      <w:pPr>
        <w:pStyle w:val="Compact"/>
        <w:numPr>
          <w:ilvl w:val="0"/>
          <w:numId w:val="1012"/>
        </w:numPr>
      </w:pPr>
      <w:r>
        <w:t xml:space="preserve">Full-year guidance is reiterated, perhaps with improved currency assumptions</w:t>
      </w:r>
    </w:p>
    <w:p>
      <w:pPr>
        <w:pStyle w:val="FirstParagraph"/>
      </w:pPr>
      <w:r>
        <w:t xml:space="preserve">This would be adequate, but management commentary on Q3 and the second half would determine the stock reaction.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Organic growth near or below the bottom of the 1%–3% annual range</w:t>
      </w:r>
    </w:p>
    <w:p>
      <w:pPr>
        <w:pStyle w:val="Compact"/>
        <w:numPr>
          <w:ilvl w:val="0"/>
          <w:numId w:val="1013"/>
        </w:numPr>
      </w:pPr>
      <w:r>
        <w:t xml:space="preserve">Another submarket U.S. knee quarter</w:t>
      </w:r>
    </w:p>
    <w:p>
      <w:pPr>
        <w:pStyle w:val="Compact"/>
        <w:numPr>
          <w:ilvl w:val="0"/>
          <w:numId w:val="1013"/>
        </w:numPr>
      </w:pPr>
      <w:r>
        <w:t xml:space="preserve">Additional distributor or account losses</w:t>
      </w:r>
    </w:p>
    <w:p>
      <w:pPr>
        <w:pStyle w:val="Compact"/>
        <w:numPr>
          <w:ilvl w:val="0"/>
          <w:numId w:val="1013"/>
        </w:numPr>
      </w:pPr>
      <w:r>
        <w:t xml:space="preserve">Paragon growth falls short of management’s “teens” commentary</w:t>
      </w:r>
    </w:p>
    <w:p>
      <w:pPr>
        <w:pStyle w:val="Compact"/>
        <w:numPr>
          <w:ilvl w:val="0"/>
          <w:numId w:val="1013"/>
        </w:numPr>
      </w:pPr>
      <w:r>
        <w:t xml:space="preserve">Operating margin below the implied 25.8%</w:t>
      </w:r>
    </w:p>
    <w:p>
      <w:pPr>
        <w:pStyle w:val="Compact"/>
        <w:numPr>
          <w:ilvl w:val="0"/>
          <w:numId w:val="1013"/>
        </w:numPr>
      </w:pPr>
      <w:r>
        <w:t xml:space="preserve">Guidance is maintained only because of buybacks or lowered assumptions elsewhere</w:t>
      </w:r>
    </w:p>
    <w:p>
      <w:pPr>
        <w:pStyle w:val="FirstParagraph"/>
      </w:pPr>
      <w:r>
        <w:t xml:space="preserve">That outcome would intensify concerns that the sales-force transition is more disruptive and expensive than management anticipated.</w:t>
      </w:r>
    </w:p>
    <w:bookmarkEnd w:id="26"/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key KPI is underlying U.S. knee acceleration, not headline EPS.</w:t>
      </w:r>
      <w:r>
        <w:t xml:space="preserve"> </w:t>
      </w:r>
      <w:r>
        <w:t xml:space="preserve">ZBH has already established that hips, robotics and recent acquisitions can grow. What remains unproven is whether the commercial reorganization can close the company’s large-joint growth gap while keeping margin pressure temporary.</w:t>
      </w:r>
    </w:p>
    <w:p>
      <w:pPr>
        <w:pStyle w:val="BodyText"/>
      </w:pPr>
      <w:r>
        <w:t xml:space="preserve">A small consensus beat with unchanged guidance may not be sufficient. The stronger signal would be:</w:t>
      </w:r>
    </w:p>
    <w:p>
      <w:pPr>
        <w:pStyle w:val="Compact"/>
        <w:numPr>
          <w:ilvl w:val="0"/>
          <w:numId w:val="1014"/>
        </w:numPr>
      </w:pPr>
      <w:r>
        <w:t xml:space="preserve">Better U.S. knee growth</w:t>
      </w:r>
    </w:p>
    <w:p>
      <w:pPr>
        <w:pStyle w:val="Compact"/>
        <w:numPr>
          <w:ilvl w:val="0"/>
          <w:numId w:val="1014"/>
        </w:numPr>
      </w:pPr>
      <w:r>
        <w:t xml:space="preserve">Continued technology-to-implant pull-through</w:t>
      </w:r>
    </w:p>
    <w:p>
      <w:pPr>
        <w:pStyle w:val="Compact"/>
        <w:numPr>
          <w:ilvl w:val="0"/>
          <w:numId w:val="1014"/>
        </w:numPr>
      </w:pPr>
      <w:r>
        <w:t xml:space="preserve">Double-digit Paragon performance</w:t>
      </w:r>
    </w:p>
    <w:p>
      <w:pPr>
        <w:pStyle w:val="Compact"/>
        <w:numPr>
          <w:ilvl w:val="0"/>
          <w:numId w:val="1014"/>
        </w:numPr>
      </w:pPr>
      <w:r>
        <w:t xml:space="preserve">Margins tracking the planned investment trough</w:t>
      </w:r>
    </w:p>
    <w:p>
      <w:pPr>
        <w:pStyle w:val="Compact"/>
        <w:numPr>
          <w:ilvl w:val="0"/>
          <w:numId w:val="1014"/>
        </w:numPr>
      </w:pPr>
      <w:r>
        <w:t xml:space="preserve">Confidence that organic growth and operating leverage improve in 2027</w:t>
      </w:r>
    </w:p>
    <w:p>
      <w:pPr>
        <w:pStyle w:val="FirstParagraph"/>
      </w:pPr>
      <w:r>
        <w:t xml:space="preserve">If those elements are present, investors can look past a year-over-year EPS decline in Q2. If they are absent, the strategic promise of the robotics portfolio and sales-force overhaul will remain pushed further into the future.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investor.zimmerbiomet.com/news-and-events/news/2026/04-28-2026-113031821?utm_source=openai" TargetMode="External" /><Relationship Type="http://schemas.openxmlformats.org/officeDocument/2006/relationships/hyperlink" Id="rId9" Target="https://investor.zimmerbiomet.com/news-and-events/news/2026?utm_source=openai" TargetMode="External" /><Relationship Type="http://schemas.openxmlformats.org/officeDocument/2006/relationships/hyperlink" Id="rId10" Target="https://www.benzinga.com/quote/ZBH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investor.zimmerbiomet.com/news-and-events/news/2026/04-28-2026-113031821?utm_source=openai" TargetMode="External" /><Relationship Type="http://schemas.openxmlformats.org/officeDocument/2006/relationships/hyperlink" Id="rId9" Target="https://investor.zimmerbiomet.com/news-and-events/news/2026?utm_source=openai" TargetMode="External" /><Relationship Type="http://schemas.openxmlformats.org/officeDocument/2006/relationships/hyperlink" Id="rId10" Target="https://www.benzinga.com/quote/ZBH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2026-08-05T00:22:12Z</dcterms:created>
  <dcterms:modified xsi:type="dcterms:W3CDTF">2026-08-05T00:22:12Z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