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b9250e2dcfbd5dbe3933157f31a731fe3580939"/>
    <w:p>
      <w:pPr>
        <w:pStyle w:val="Heading1"/>
      </w:pPr>
      <w:r>
        <w:t xml:space="preserve">Zimmer Biomet (NYSE: ZBH) — 2Q26 Earnings Preview</w:t>
      </w:r>
    </w:p>
    <w:p>
      <w:pPr>
        <w:pStyle w:val="BlockText"/>
      </w:pPr>
      <w:r>
        <w:rPr>
          <w:b/>
          <w:bCs/>
        </w:rPr>
        <w:t xml:space="preserve">Date note:</w:t>
      </w:r>
      <w:r>
        <w:t xml:space="preserve"> </w:t>
      </w:r>
      <w:r>
        <w:t xml:space="preserve">The stated event date is</w:t>
      </w:r>
      <w:r>
        <w:t xml:space="preserve"> </w:t>
      </w:r>
      <w:r>
        <w:rPr>
          <w:b/>
          <w:bCs/>
        </w:rPr>
        <w:t xml:space="preserve">August 5, 2026</w:t>
      </w:r>
      <w:r>
        <w:t xml:space="preserve">, 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No 2Q26 release or call transcript was available in the research materials, so this is a pre-results preview.</w:t>
      </w:r>
    </w:p>
    <w:bookmarkStart w:id="9" w:name="X746a54f0a79602f8d1335126af35baeed475979"/>
    <w:p>
      <w:pPr>
        <w:pStyle w:val="Heading2"/>
      </w:pPr>
      <w:r>
        <w:t xml:space="preserve">Investment view: execution—not end-market demand—is the key debate</w:t>
      </w:r>
    </w:p>
    <w:p>
      <w:pPr>
        <w:pStyle w:val="FirstParagraph"/>
      </w:pPr>
      <w:r>
        <w:t xml:space="preserve">Zimmer Biomet enters 2Q26 with a credible operational story but a high bar for proof. The company began the year near the top end of its organic-growth framework, raised adjusted EPS and free-cash-flow expectations, and continues to see strong uptake in technology, hips, shoulders, and foot &amp; ankle. However, the core knee franchise remains below market growth, international growth was soft in 1Q, and management has explicitly guided to a sharp year-over-year margin decline in 2Q as it funds its U.S. commercial transformation.</w:t>
      </w:r>
    </w:p>
    <w:p>
      <w:pPr>
        <w:pStyle w:val="BodyText"/>
      </w:pPr>
      <w:r>
        <w:t xml:space="preserve">The quarter therefore matters less for the headline adjusted EPS result than for whether ZBH can demonstrate: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growth that remains within or above the 1%–3% full-year framework without leaning on pull-forwards;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Improving knees and international trends;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worse-than-expected disruption from the U.S. sales-force transition;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Confidence that the 2Q margin trough is temporary and consistent with the full-year outlook.</w:t>
      </w:r>
    </w:p>
    <w:p>
      <w:pPr>
        <w:pStyle w:val="FirstParagraph"/>
      </w:pPr>
      <w:r>
        <w:t xml:space="preserve">ZBH closed at</w:t>
      </w:r>
      <w:r>
        <w:t xml:space="preserve"> </w:t>
      </w:r>
      <w:r>
        <w:rPr>
          <w:b/>
          <w:bCs/>
        </w:rPr>
        <w:t xml:space="preserve">$95.83 on August 4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3.5%</w:t>
      </w:r>
      <w:r>
        <w:t xml:space="preserve"> </w:t>
      </w:r>
      <w:r>
        <w:t xml:space="preserve">from the close immediately before 1Q results on April 28, but still reflecting a more cautious setup than the broader large-cap medtech group after the initial post-1Q selloff. That leaves room for a favorable reaction if execution and guidance credibility improve.</w:t>
      </w:r>
    </w:p>
    <w:p>
      <w:r>
        <w:pict>
          <v:rect style="width:0;height:1.5pt" o:hralign="center" o:hrstd="t" o:hr="t"/>
        </w:pict>
      </w:r>
    </w:p>
    <w:bookmarkEnd w:id="9"/>
    <w:bookmarkStart w:id="10" w:name="the-baseline-what-zbh-has-guided-to"/>
    <w:p>
      <w:pPr>
        <w:pStyle w:val="Heading2"/>
      </w:pPr>
      <w:r>
        <w:t xml:space="preserve">The baseline: what ZBH has guided to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outlook, updated after 1Q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Company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2.5%–4.5%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2.0%–4.0%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constant-currency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1.0%–3.0%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8.40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8.55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Free-cash-flow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9%–11%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Assumed price erosion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to</w:t>
            </w:r>
            <w:r>
              <w:t xml:space="preserve"> </w:t>
            </w:r>
            <w:r>
              <w:rPr>
                <w:b/>
                <w:bCs/>
              </w:rPr>
              <w:t xml:space="preserve">100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Planned 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to</w:t>
            </w:r>
            <w:r>
              <w:t xml:space="preserve"> </w:t>
            </w:r>
            <w:r>
              <w:rPr>
                <w:b/>
                <w:bCs/>
              </w:rPr>
              <w:t xml:space="preserve">$750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2Q26 adjusted operating-margin commentary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200 bps below 2Q25</w:t>
            </w:r>
          </w:p>
        </w:tc>
      </w:tr>
    </w:tbl>
    <w:p>
      <w:pPr>
        <w:pStyle w:val="BodyText"/>
      </w:pPr>
      <w:r>
        <w:t xml:space="preserve">The most important setup point is that management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lift revenue guidance after a strong 1Q. It raised adjusted EPS by $0.10 at the midpoint, but much of the 1Q upside came from tariff-related items and timing. Investors will want evidence that revenue momentum, rather than one-time P&amp;L support, is improving.</w:t>
      </w:r>
    </w:p>
    <w:p>
      <w:r>
        <w:pict>
          <v:rect style="width:0;height:1.5pt" o:hralign="center" o:hrstd="t" o:hr="t"/>
        </w:pict>
      </w:r>
    </w:p>
    <w:bookmarkEnd w:id="10"/>
    <w:bookmarkStart w:id="15" w:name="what-the-quarter-needs-to-show"/>
    <w:p>
      <w:pPr>
        <w:pStyle w:val="Heading2"/>
      </w:pPr>
      <w:r>
        <w:t xml:space="preserve">What the quarter needs to show</w:t>
      </w:r>
    </w:p>
    <w:bookmarkStart w:id="11" w:name="X1e48876950e55d4722a4b55786758f71eb9853c"/>
    <w:p>
      <w:pPr>
        <w:pStyle w:val="Heading3"/>
      </w:pPr>
      <w:r>
        <w:t xml:space="preserve">1. Organic growth: stay near the high end, with cleaner quality than 1Q</w:t>
      </w:r>
    </w:p>
    <w:p>
      <w:pPr>
        <w:pStyle w:val="FirstParagraph"/>
      </w:pPr>
      <w:r>
        <w:t xml:space="preserve">In 1Q26, organic constant-currency sales grew</w:t>
      </w:r>
      <w:r>
        <w:t xml:space="preserve"> </w:t>
      </w:r>
      <w:r>
        <w:rPr>
          <w:b/>
          <w:bCs/>
        </w:rPr>
        <w:t xml:space="preserve">2.9%</w:t>
      </w:r>
      <w:r>
        <w:t xml:space="preserve">, at the upper end of the full-year guide. But the result benefited from above-normal end-of-quarter purchases, while U.S. and international commercial-model changes created some disruption.</w:t>
      </w:r>
    </w:p>
    <w:p>
      <w:pPr>
        <w:pStyle w:val="BodyText"/>
      </w:pPr>
      <w:r>
        <w:t xml:space="preserve">For 2Q, a reasonable operating lens is for reported revenue to grow in the</w:t>
      </w:r>
      <w:r>
        <w:t xml:space="preserve"> </w:t>
      </w:r>
      <w:r>
        <w:rPr>
          <w:b/>
          <w:bCs/>
        </w:rPr>
        <w:t xml:space="preserve">low-single digits</w:t>
      </w:r>
      <w:r>
        <w:t xml:space="preserve"> </w:t>
      </w:r>
      <w:r>
        <w:t xml:space="preserve">against the</w:t>
      </w:r>
      <w:r>
        <w:t xml:space="preserve"> </w:t>
      </w:r>
      <w:r>
        <w:rPr>
          <w:b/>
          <w:bCs/>
        </w:rPr>
        <w:t xml:space="preserve">$2.077 billion</w:t>
      </w:r>
      <w:r>
        <w:t xml:space="preserve"> </w:t>
      </w:r>
      <w:r>
        <w:t xml:space="preserve">reported in 2Q25. Foreign exchange was expected to be roughly neutral in 2Q at rates prevailing during the 1Q call. The quarter also contains a small remaining acquisition-comparison benefit from Paragon 28 around the April 2026 acquisition anniversary.</w:t>
      </w:r>
    </w:p>
    <w:p>
      <w:pPr>
        <w:pStyle w:val="BodyText"/>
      </w:pPr>
      <w:r>
        <w:rPr>
          <w:b/>
          <w:bCs/>
        </w:rPr>
        <w:t xml:space="preserve">What would be constructive:</w:t>
      </w:r>
      <w:r>
        <w:t xml:space="preserve"> </w:t>
      </w:r>
      <w:r>
        <w:t xml:space="preserve">organic growth at or above the high end of the 1%–3% framework, supported by hips, technology, and a less weak knee result.</w:t>
      </w:r>
    </w:p>
    <w:p>
      <w:pPr>
        <w:pStyle w:val="BodyText"/>
      </w:pPr>
      <w:r>
        <w:rPr>
          <w:b/>
          <w:bCs/>
        </w:rPr>
        <w:t xml:space="preserve">What would concern investors:</w:t>
      </w:r>
      <w:r>
        <w:t xml:space="preserve"> </w:t>
      </w:r>
      <w:r>
        <w:t xml:space="preserve">sub-1% organic growth, another quarter of meaningful international underperformance, or commentary suggesting that sales-force changes have become more disruptive than planned.</w:t>
      </w:r>
    </w:p>
    <w:p>
      <w:r>
        <w:pict>
          <v:rect style="width:0;height:1.5pt" o:hralign="center" o:hrstd="t" o:hr="t"/>
        </w:pict>
      </w:r>
    </w:p>
    <w:bookmarkEnd w:id="11"/>
    <w:bookmarkStart w:id="12" w:name="X178cbb76357d0eb84b212ffb812aebdc47ea4ee"/>
    <w:p>
      <w:pPr>
        <w:pStyle w:val="Heading3"/>
      </w:pPr>
      <w:r>
        <w:t xml:space="preserve">2. Knees are the critical franchise to watch</w:t>
      </w:r>
    </w:p>
    <w:p>
      <w:pPr>
        <w:pStyle w:val="FirstParagraph"/>
      </w:pPr>
      <w:r>
        <w:t xml:space="preserve">Knees are ZBH’s largest product category—</w:t>
      </w:r>
      <w:r>
        <w:rPr>
          <w:b/>
          <w:bCs/>
        </w:rPr>
        <w:t xml:space="preserve">$829 million</w:t>
      </w:r>
      <w:r>
        <w:t xml:space="preserve"> </w:t>
      </w:r>
      <w:r>
        <w:t xml:space="preserve">in 1Q26—and the main source of skepticism. Organic knee growth was only</w:t>
      </w:r>
      <w:r>
        <w:t xml:space="preserve"> </w:t>
      </w:r>
      <w:r>
        <w:rPr>
          <w:b/>
          <w:bCs/>
        </w:rPr>
        <w:t xml:space="preserve">1.8%</w:t>
      </w:r>
      <w:r>
        <w:t xml:space="preserve"> </w:t>
      </w:r>
      <w:r>
        <w:t xml:space="preserve">in 1Q, including</w:t>
      </w:r>
      <w:r>
        <w:t xml:space="preserve"> </w:t>
      </w:r>
      <w:r>
        <w:rPr>
          <w:b/>
          <w:bCs/>
        </w:rPr>
        <w:t xml:space="preserve">2.2%</w:t>
      </w:r>
      <w:r>
        <w:t xml:space="preserve"> </w:t>
      </w:r>
      <w:r>
        <w:t xml:space="preserve">in U.S. knees, despite management estimating the underlying reconstruction market at roughly</w:t>
      </w:r>
      <w:r>
        <w:t xml:space="preserve"> </w:t>
      </w:r>
      <w:r>
        <w:rPr>
          <w:b/>
          <w:bCs/>
        </w:rPr>
        <w:t xml:space="preserve">4%–4.5%</w:t>
      </w:r>
      <w:r>
        <w:t xml:space="preserve"> </w:t>
      </w:r>
      <w:r>
        <w:t xml:space="preserve">growth.</w:t>
      </w:r>
    </w:p>
    <w:p>
      <w:pPr>
        <w:pStyle w:val="BodyText"/>
      </w:pPr>
      <w:r>
        <w:t xml:space="preserve">The weakness was partly self-inflicted:</w:t>
      </w:r>
    </w:p>
    <w:p>
      <w:pPr>
        <w:pStyle w:val="Compact"/>
        <w:numPr>
          <w:ilvl w:val="0"/>
          <w:numId w:val="1002"/>
        </w:numPr>
      </w:pPr>
      <w:r>
        <w:t xml:space="preserve">ZBH lost two sizable U.S. knee accounts;</w:t>
      </w:r>
    </w:p>
    <w:p>
      <w:pPr>
        <w:pStyle w:val="Compact"/>
        <w:numPr>
          <w:ilvl w:val="0"/>
          <w:numId w:val="1002"/>
        </w:numPr>
      </w:pPr>
      <w:r>
        <w:t xml:space="preserve">a Kaiser strike disproportionately affected a region where ZBH has strong knee share; and</w:t>
      </w:r>
    </w:p>
    <w:p>
      <w:pPr>
        <w:pStyle w:val="Compact"/>
        <w:numPr>
          <w:ilvl w:val="0"/>
          <w:numId w:val="1002"/>
        </w:numPr>
      </w:pPr>
      <w:r>
        <w:t xml:space="preserve">the company is rationalizing legacy knee brands, including NexGen and Vanguard, in favor of the Persona platform.</w:t>
      </w:r>
    </w:p>
    <w:p>
      <w:pPr>
        <w:pStyle w:val="FirstParagraph"/>
      </w:pPr>
      <w:r>
        <w:t xml:space="preserve">Management expects acceleration as technology placements convert into implant demand and as the go-to-market transition matures. That thesis needs to become visible in 2Q results or at least in exit-rate commentary.</w:t>
      </w:r>
    </w:p>
    <w:p>
      <w:pPr>
        <w:pStyle w:val="BodyText"/>
      </w:pPr>
      <w:r>
        <w:rPr>
          <w:b/>
          <w:bCs/>
        </w:rPr>
        <w:t xml:space="preserve">Key KPI:</w:t>
      </w:r>
      <w:r>
        <w:t xml:space="preserve"> </w:t>
      </w:r>
      <w:r>
        <w:t xml:space="preserve">U.S. knee growth. A move materially above the 1Q</w:t>
      </w:r>
      <w:r>
        <w:t xml:space="preserve"> </w:t>
      </w:r>
      <w:r>
        <w:rPr>
          <w:b/>
          <w:bCs/>
        </w:rPr>
        <w:t xml:space="preserve">2.2%</w:t>
      </w:r>
      <w:r>
        <w:t xml:space="preserve"> </w:t>
      </w:r>
      <w:r>
        <w:t xml:space="preserve">level would support the recovery narrative; another low-growth result would reinforce concerns that the commercial transition is costing share.</w:t>
      </w:r>
    </w:p>
    <w:p>
      <w:r>
        <w:pict>
          <v:rect style="width:0;height:1.5pt" o:hralign="center" o:hrstd="t" o:hr="t"/>
        </w:pict>
      </w:r>
    </w:p>
    <w:bookmarkEnd w:id="12"/>
    <w:bookmarkStart w:id="13" w:name="X039da5569d74505cb5f7de78169aec3f487606e"/>
    <w:p>
      <w:pPr>
        <w:pStyle w:val="Heading3"/>
      </w:pPr>
      <w:r>
        <w:t xml:space="preserve">3. Technology is the upside lever—and a leading indicator for implants</w:t>
      </w:r>
    </w:p>
    <w:p>
      <w:pPr>
        <w:pStyle w:val="FirstParagraph"/>
      </w:pPr>
      <w:r>
        <w:t xml:space="preserve">Technology, data, bone cement, and surgical sales grew</w:t>
      </w:r>
      <w:r>
        <w:t xml:space="preserve"> </w:t>
      </w:r>
      <w:r>
        <w:rPr>
          <w:b/>
          <w:bCs/>
        </w:rPr>
        <w:t xml:space="preserve">11.7% organic constant currency</w:t>
      </w:r>
      <w:r>
        <w:t xml:space="preserve"> </w:t>
      </w:r>
      <w:r>
        <w:t xml:space="preserve">in 1Q, with management indicating that the underlying robotics/technology component grew approximately</w:t>
      </w:r>
      <w:r>
        <w:t xml:space="preserve"> </w:t>
      </w:r>
      <w:r>
        <w:rPr>
          <w:b/>
          <w:bCs/>
        </w:rPr>
        <w:t xml:space="preserve">30%</w:t>
      </w:r>
      <w:r>
        <w:t xml:space="preserve">. ROSA, TMINI, OrthoGrid, and the broader digital ecosystem are central to ZBH’s plan to improve implant pull-through.</w:t>
      </w:r>
    </w:p>
    <w:p>
      <w:pPr>
        <w:pStyle w:val="BodyText"/>
      </w:pPr>
      <w:r>
        <w:t xml:space="preserve">Several upcoming catalysts matter strategically: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ROSA Knee with OptimiZe</w:t>
      </w:r>
      <w:r>
        <w:t xml:space="preserve"> </w:t>
      </w:r>
      <w:r>
        <w:t xml:space="preserve">is now fully commercialized.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ROSA Shoulder</w:t>
      </w:r>
      <w:r>
        <w:t xml:space="preserve"> </w:t>
      </w:r>
      <w:r>
        <w:t xml:space="preserve">has moved from limited to full market release.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Monogram’s mBôs</w:t>
      </w:r>
      <w:r>
        <w:t xml:space="preserve"> </w:t>
      </w:r>
      <w:r>
        <w:t xml:space="preserve">semi-autonomous knee robot remains targeted for U.S. launch in early 2027, followed by a fully autonomous version in late 2027 or early 2028.</w:t>
      </w:r>
    </w:p>
    <w:p>
      <w:pPr>
        <w:pStyle w:val="Compact"/>
        <w:numPr>
          <w:ilvl w:val="0"/>
          <w:numId w:val="1003"/>
        </w:numPr>
      </w:pPr>
      <w:r>
        <w:t xml:space="preserve">ZBH plans to hire more than</w:t>
      </w:r>
      <w:r>
        <w:t xml:space="preserve"> </w:t>
      </w:r>
      <w:r>
        <w:rPr>
          <w:b/>
          <w:bCs/>
        </w:rPr>
        <w:t xml:space="preserve">200 robotic clinical sales representatives by year-end 2027</w:t>
      </w:r>
      <w:r>
        <w:t xml:space="preserve"> </w:t>
      </w:r>
      <w:r>
        <w:t xml:space="preserve">to support the Monogram launch.</w:t>
      </w:r>
    </w:p>
    <w:p>
      <w:pPr>
        <w:pStyle w:val="FirstParagraph"/>
      </w:pPr>
      <w:r>
        <w:t xml:space="preserve">Technology growth alone will not settle the investment debate; investors will look for evidence that technology placements are translating into stronger hips and knees, particularly in converted accounts and ambulatory surgery centers.</w:t>
      </w:r>
    </w:p>
    <w:p>
      <w:r>
        <w:pict>
          <v:rect style="width:0;height:1.5pt" o:hralign="center" o:hrstd="t" o:hr="t"/>
        </w:pict>
      </w:r>
    </w:p>
    <w:bookmarkEnd w:id="13"/>
    <w:bookmarkStart w:id="14" w:name="X2b483c35bdf597f71666436ddfb770609f0de34"/>
    <w:p>
      <w:pPr>
        <w:pStyle w:val="Heading3"/>
      </w:pPr>
      <w:r>
        <w:t xml:space="preserve">4. Expect the margin trough—but scrutinize its size and exit trajectory</w:t>
      </w:r>
    </w:p>
    <w:p>
      <w:pPr>
        <w:pStyle w:val="FirstParagraph"/>
      </w:pPr>
      <w:r>
        <w:t xml:space="preserve">Management set expectations clearly: 2Q adjusted operating margin should be approximately</w:t>
      </w:r>
      <w:r>
        <w:t xml:space="preserve"> </w:t>
      </w:r>
      <w:r>
        <w:rPr>
          <w:b/>
          <w:bCs/>
        </w:rPr>
        <w:t xml:space="preserve">200 bps lower year over year</w:t>
      </w:r>
      <w:r>
        <w:t xml:space="preserve">, reflecting commercial investments, Paragon 28 dilution, and a less favorable gross-margin setup than in 1Q.</w:t>
      </w:r>
    </w:p>
    <w:p>
      <w:pPr>
        <w:pStyle w:val="BodyText"/>
      </w:pPr>
      <w:r>
        <w:t xml:space="preserve">This is important because 1Q adjusted operating margin expanded</w:t>
      </w:r>
      <w:r>
        <w:t xml:space="preserve"> </w:t>
      </w:r>
      <w:r>
        <w:rPr>
          <w:b/>
          <w:bCs/>
        </w:rPr>
        <w:t xml:space="preserve">110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27.3%</w:t>
      </w:r>
      <w:r>
        <w:t xml:space="preserve">, but that strength was helped by tariff-related benefits. Management quantified approximately</w:t>
      </w:r>
      <w:r>
        <w:t xml:space="preserve"> </w:t>
      </w:r>
      <w:r>
        <w:rPr>
          <w:b/>
          <w:bCs/>
        </w:rPr>
        <w:t xml:space="preserve">$0.20 per share</w:t>
      </w:r>
      <w:r>
        <w:t xml:space="preserve"> </w:t>
      </w:r>
      <w:r>
        <w:t xml:space="preserve">of 1Q benefit from the invalidation of IEEPA tariffs, with roughly half viewed as a pull-forward from the second half of the year. That benefit should not be extrapolated into 2Q.</w:t>
      </w:r>
    </w:p>
    <w:p>
      <w:pPr>
        <w:pStyle w:val="BodyText"/>
      </w:pPr>
      <w:r>
        <w:t xml:space="preserve">The company still expects full-year operating margin to decline by</w:t>
      </w:r>
      <w:r>
        <w:t xml:space="preserve"> </w:t>
      </w:r>
      <w:r>
        <w:rPr>
          <w:b/>
          <w:bCs/>
        </w:rPr>
        <w:t xml:space="preserve">slightly less than 50 bps</w:t>
      </w:r>
      <w:r>
        <w:t xml:space="preserve"> </w:t>
      </w:r>
      <w:r>
        <w:t xml:space="preserve">versus 2025. Therefore, the central call question is not whether 2Q margins are down—it is whether management can credibly explain the bridge from a roughly 200-bp year-over-year 2Q decline to a much more manageable full-year decline.</w:t>
      </w:r>
    </w:p>
    <w:p>
      <w:pPr>
        <w:pStyle w:val="BodyText"/>
      </w:pPr>
      <w:r>
        <w:rPr>
          <w:b/>
          <w:bCs/>
        </w:rPr>
        <w:t xml:space="preserve">Watch for:</w:t>
      </w:r>
    </w:p>
    <w:p>
      <w:pPr>
        <w:pStyle w:val="Compact"/>
        <w:numPr>
          <w:ilvl w:val="0"/>
          <w:numId w:val="1004"/>
        </w:numPr>
      </w:pPr>
      <w:r>
        <w:t xml:space="preserve">Adjusted gross margin relative to the approximately</w:t>
      </w:r>
      <w:r>
        <w:t xml:space="preserve"> </w:t>
      </w:r>
      <w:r>
        <w:rPr>
          <w:b/>
          <w:bCs/>
        </w:rPr>
        <w:t xml:space="preserve">71%</w:t>
      </w:r>
      <w:r>
        <w:t xml:space="preserve"> </w:t>
      </w:r>
      <w:r>
        <w:t xml:space="preserve">full-year expectation;</w:t>
      </w:r>
    </w:p>
    <w:p>
      <w:pPr>
        <w:pStyle w:val="Compact"/>
        <w:numPr>
          <w:ilvl w:val="0"/>
          <w:numId w:val="1004"/>
        </w:numPr>
      </w:pPr>
      <w:r>
        <w:t xml:space="preserve">Commercial-spending intensity;</w:t>
      </w:r>
    </w:p>
    <w:p>
      <w:pPr>
        <w:pStyle w:val="Compact"/>
        <w:numPr>
          <w:ilvl w:val="0"/>
          <w:numId w:val="1004"/>
        </w:numPr>
      </w:pPr>
      <w:r>
        <w:t xml:space="preserve">Whether the sales-force transition is producing productivity gains quickly enough to offset compensation guarantees and hiring costs;</w:t>
      </w:r>
    </w:p>
    <w:p>
      <w:pPr>
        <w:pStyle w:val="Compact"/>
        <w:numPr>
          <w:ilvl w:val="0"/>
          <w:numId w:val="1004"/>
        </w:numPr>
      </w:pPr>
      <w:r>
        <w:t xml:space="preserve">Commentary on 3Q margins, which management previously expected to be about 50 bps lower sequentially from 2Q.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190c627f65a0460d0c5a74a452b73d417bf8c4e"/>
    <w:p>
      <w:pPr>
        <w:pStyle w:val="Heading2"/>
      </w:pPr>
      <w:r>
        <w:t xml:space="preserve">Commercial transformation: the strategic swing factor</w:t>
      </w:r>
    </w:p>
    <w:p>
      <w:pPr>
        <w:pStyle w:val="FirstParagraph"/>
      </w:pPr>
      <w:r>
        <w:t xml:space="preserve">ZBH is moving its U.S. organization toward a more dedicated, specialized sales model, with completion targeted by the end of 2027. At the end of 1Q:</w:t>
      </w:r>
    </w:p>
    <w:p>
      <w:pPr>
        <w:pStyle w:val="Compact"/>
        <w:numPr>
          <w:ilvl w:val="0"/>
          <w:numId w:val="1005"/>
        </w:numPr>
      </w:pPr>
      <w:r>
        <w:t xml:space="preserve">The share of the U.S. sales force classified as 1099 contractors had declined from about</w:t>
      </w:r>
      <w:r>
        <w:t xml:space="preserve"> </w:t>
      </w:r>
      <w:r>
        <w:rPr>
          <w:b/>
          <w:bCs/>
        </w:rPr>
        <w:t xml:space="preserve">66%</w:t>
      </w:r>
      <w:r>
        <w:t xml:space="preserve"> </w:t>
      </w:r>
      <w:r>
        <w:t xml:space="preserve">to just under</w:t>
      </w:r>
      <w:r>
        <w:t xml:space="preserve"> </w:t>
      </w:r>
      <w:r>
        <w:rPr>
          <w:b/>
          <w:bCs/>
        </w:rPr>
        <w:t xml:space="preserve">60%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Specialized representatives increased from about</w:t>
      </w:r>
      <w:r>
        <w:t xml:space="preserve"> </w:t>
      </w:r>
      <w:r>
        <w:rPr>
          <w:b/>
          <w:bCs/>
        </w:rPr>
        <w:t xml:space="preserve">25%</w:t>
      </w:r>
      <w:r>
        <w:t xml:space="preserve"> </w:t>
      </w:r>
      <w:r>
        <w:t xml:space="preserve">to around</w:t>
      </w:r>
      <w:r>
        <w:t xml:space="preserve"> </w:t>
      </w:r>
      <w:r>
        <w:rPr>
          <w:b/>
          <w:bCs/>
        </w:rPr>
        <w:t xml:space="preserve">30%</w:t>
      </w:r>
      <w:r>
        <w:t xml:space="preserve"> </w:t>
      </w:r>
      <w:r>
        <w:t xml:space="preserve">of the sales force;</w:t>
      </w:r>
    </w:p>
    <w:p>
      <w:pPr>
        <w:pStyle w:val="Compact"/>
        <w:numPr>
          <w:ilvl w:val="0"/>
          <w:numId w:val="1005"/>
        </w:numPr>
      </w:pPr>
      <w:r>
        <w:t xml:space="preserve">Six leading independent distributors, representing approximately</w:t>
      </w:r>
      <w:r>
        <w:t xml:space="preserve"> </w:t>
      </w:r>
      <w:r>
        <w:rPr>
          <w:b/>
          <w:bCs/>
        </w:rPr>
        <w:t xml:space="preserve">40% of sales</w:t>
      </w:r>
      <w:r>
        <w:t xml:space="preserve">, had signed extensions of at least seven years; and</w:t>
      </w:r>
    </w:p>
    <w:p>
      <w:pPr>
        <w:pStyle w:val="Compact"/>
        <w:numPr>
          <w:ilvl w:val="0"/>
          <w:numId w:val="1005"/>
        </w:numPr>
      </w:pPr>
      <w:r>
        <w:t xml:space="preserve">Turnover was running in the single digits, better than the company’s maximum</w:t>
      </w:r>
      <w:r>
        <w:t xml:space="preserve"> </w:t>
      </w:r>
      <w:r>
        <w:rPr>
          <w:b/>
          <w:bCs/>
        </w:rPr>
        <w:t xml:space="preserve">12%</w:t>
      </w:r>
      <w:r>
        <w:t xml:space="preserve"> </w:t>
      </w:r>
      <w:r>
        <w:t xml:space="preserve">target.</w:t>
      </w:r>
    </w:p>
    <w:p>
      <w:pPr>
        <w:pStyle w:val="FirstParagraph"/>
      </w:pPr>
      <w:r>
        <w:t xml:space="preserve">Management says territories already converted to dedicated sales coverage have seen double-digit increases in cases per rep and better sales productivity. That is the bull case: short-term disruption in exchange for structurally higher rep productivity, better specialist coverage, and stronger technology commercialization.</w:t>
      </w:r>
    </w:p>
    <w:p>
      <w:pPr>
        <w:pStyle w:val="BodyText"/>
      </w:pPr>
      <w:r>
        <w:t xml:space="preserve">The bear case is that the investment period lasts longer, guarantees keep costs elevated, or customer/rep disruption continues into 2027.</w:t>
      </w:r>
    </w:p>
    <w:p>
      <w:r>
        <w:pict>
          <v:rect style="width:0;height:1.5pt" o:hralign="center" o:hrstd="t" o:hr="t"/>
        </w:pict>
      </w:r>
    </w:p>
    <w:bookmarkEnd w:id="16"/>
    <w:bookmarkStart w:id="17" w:name="X1c4846e8df4b304d9c42440181b3889e572af15"/>
    <w:p>
      <w:pPr>
        <w:pStyle w:val="Heading2"/>
      </w:pPr>
      <w:r>
        <w:t xml:space="preserve">Paragon 28 and international: diversification helps, but both require validation</w:t>
      </w:r>
    </w:p>
    <w:p>
      <w:pPr>
        <w:pStyle w:val="FirstParagraph"/>
      </w:pPr>
      <w:r>
        <w:rPr>
          <w:b/>
          <w:bCs/>
        </w:rPr>
        <w:t xml:space="preserve">Paragon 28</w:t>
      </w:r>
      <w:r>
        <w:t xml:space="preserve"> </w:t>
      </w:r>
      <w:r>
        <w:t xml:space="preserve">is improving. Management said growth accelerated roughly 200 bps sequentially in 1Q and had reached the teens early in 2Q, with a goal to exit 2026 at double-digit growth. It broadens ZBH’s exposure to the faster-growing foot-and-ankle market and remains a positive diversification lever.</w:t>
      </w:r>
    </w:p>
    <w:p>
      <w:pPr>
        <w:pStyle w:val="BodyText"/>
      </w:pPr>
      <w:r>
        <w:t xml:space="preserve">But there are two risks to monitor:</w:t>
      </w:r>
    </w:p>
    <w:p>
      <w:pPr>
        <w:pStyle w:val="Compact"/>
        <w:numPr>
          <w:ilvl w:val="0"/>
          <w:numId w:val="1006"/>
        </w:numPr>
      </w:pPr>
      <w:r>
        <w:t xml:space="preserve">The Global Foot &amp; Ankle reporting unit’s estimated fair value exceeded carrying value by only about</w:t>
      </w:r>
      <w:r>
        <w:t xml:space="preserve"> </w:t>
      </w:r>
      <w:r>
        <w:rPr>
          <w:b/>
          <w:bCs/>
        </w:rPr>
        <w:t xml:space="preserve">5%</w:t>
      </w:r>
      <w:r>
        <w:t xml:space="preserve"> </w:t>
      </w:r>
      <w:r>
        <w:t xml:space="preserve">in ZBH’s January impairment analysis, leaving limited cushion if revenue or margin assumptions deteriorate.</w:t>
      </w:r>
    </w:p>
    <w:p>
      <w:pPr>
        <w:pStyle w:val="Compact"/>
        <w:numPr>
          <w:ilvl w:val="0"/>
          <w:numId w:val="1006"/>
        </w:numPr>
      </w:pPr>
      <w:r>
        <w:t xml:space="preserve">The acquisition carries dilution and contingent-consideration complexity; the company’s Q1 balance sheet included</w:t>
      </w:r>
      <w:r>
        <w:t xml:space="preserve"> </w:t>
      </w:r>
      <w:r>
        <w:rPr>
          <w:b/>
          <w:bCs/>
        </w:rPr>
        <w:t xml:space="preserve">$233 million</w:t>
      </w:r>
      <w:r>
        <w:t xml:space="preserve"> </w:t>
      </w:r>
      <w:r>
        <w:t xml:space="preserve">of contingent acquisition payments, with potential payouts across arrangements reaching substantially higher levels.</w:t>
      </w:r>
    </w:p>
    <w:p>
      <w:pPr>
        <w:pStyle w:val="FirstParagraph"/>
      </w:pPr>
      <w:r>
        <w:t xml:space="preserve">International performance is the nearer-term concern. International organic growth was only</w:t>
      </w:r>
      <w:r>
        <w:t xml:space="preserve"> </w:t>
      </w:r>
      <w:r>
        <w:rPr>
          <w:b/>
          <w:bCs/>
        </w:rPr>
        <w:t xml:space="preserve">2.5%</w:t>
      </w:r>
      <w:r>
        <w:t xml:space="preserve"> </w:t>
      </w:r>
      <w:r>
        <w:t xml:space="preserve">in 1Q, as distributor changes in China, emerging markets, the Middle East, and parts of Europe created disruption. Management expects international growth to improve to the mid-single digits in the second half. Any indication that this normalization is on track would be a meaningful positive.</w:t>
      </w:r>
    </w:p>
    <w:p>
      <w:r>
        <w:pict>
          <v:rect style="width:0;height:1.5pt" o:hralign="center" o:hrstd="t" o:hr="t"/>
        </w:pict>
      </w:r>
    </w:p>
    <w:bookmarkEnd w:id="17"/>
    <w:bookmarkStart w:id="18" w:name="key-comparisons"/>
    <w:p>
      <w:pPr>
        <w:pStyle w:val="Heading2"/>
      </w:pPr>
      <w:r>
        <w:t xml:space="preserve">Key comparisons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</w:pPr>
            <w:r>
              <w:t xml:space="preserve">Why it matters for 2Q26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$2.077B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$2.087B</w:t>
            </w:r>
          </w:p>
        </w:tc>
        <w:tc>
          <w:tcPr/>
          <w:p>
            <w:pPr>
              <w:pStyle w:val="Compact"/>
            </w:pPr>
            <w:r>
              <w:t xml:space="preserve">Low-single-digit reported growth is the broad setup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CC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2.9%</w:t>
            </w:r>
          </w:p>
        </w:tc>
        <w:tc>
          <w:tcPr/>
          <w:p>
            <w:pPr>
              <w:pStyle w:val="Compact"/>
            </w:pPr>
            <w:r>
              <w:t xml:space="preserve">Must validate that 1Q was not mainly timing-driven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$2.09</w:t>
            </w:r>
          </w:p>
        </w:tc>
        <w:tc>
          <w:tcPr/>
          <w:p>
            <w:pPr>
              <w:pStyle w:val="Compact"/>
            </w:pPr>
            <w:r>
              <w:t xml:space="preserve">2Q margins face a much tougher setup than 1Q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27.3%</w:t>
            </w:r>
          </w:p>
        </w:tc>
        <w:tc>
          <w:tcPr/>
          <w:p>
            <w:pPr>
              <w:pStyle w:val="Compact"/>
            </w:pPr>
            <w:r>
              <w:t xml:space="preserve">Company has guided to ~200 bps year-over-year decline in 2Q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knee 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2.2%</w:t>
            </w:r>
          </w:p>
        </w:tc>
        <w:tc>
          <w:tcPr/>
          <w:p>
            <w:pPr>
              <w:pStyle w:val="Compact"/>
            </w:pPr>
            <w:r>
              <w:t xml:space="preserve">The largest product-category proof 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Hip 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3.2%</w:t>
            </w:r>
          </w:p>
        </w:tc>
        <w:tc>
          <w:tcPr/>
          <w:p>
            <w:pPr>
              <w:pStyle w:val="Compact"/>
            </w:pPr>
            <w:r>
              <w:t xml:space="preserve">Sustained mid-single-digit U.S. hips would be favorable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Technology/data/bone cement/surgical 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11.7%</w:t>
            </w:r>
          </w:p>
        </w:tc>
        <w:tc>
          <w:tcPr/>
          <w:p>
            <w:pPr>
              <w:pStyle w:val="Compact"/>
            </w:pPr>
            <w:r>
              <w:t xml:space="preserve">High-growth technology can drive future implant pull-through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S.E.T. 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1.6%</w:t>
            </w:r>
          </w:p>
        </w:tc>
        <w:tc>
          <w:tcPr/>
          <w:p>
            <w:pPr>
              <w:pStyle w:val="Compact"/>
            </w:pPr>
            <w:r>
              <w:t xml:space="preserve">Paragon contribution masks mixed underlying performance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X9116bec721e8ecc27edd7ff5882de2109353ab2"/>
    <w:p>
      <w:pPr>
        <w:pStyle w:val="Heading2"/>
      </w:pPr>
      <w:r>
        <w:t xml:space="preserve">Questions investors should ask on the call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What was 2Q organic growth by U.S., international, knees, hips, S.E.T., and technology?</w:t>
      </w:r>
      <w:r>
        <w:br/>
      </w:r>
      <w:r>
        <w:t xml:space="preserve">The composition of growth will matter more than consolidated reported sales.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Did U.S. knee growth improve, and are lost accounts being recovered?</w:t>
      </w:r>
      <w:r>
        <w:br/>
      </w:r>
      <w:r>
        <w:t xml:space="preserve">Investors need confirmation that conversion to Persona, new-product launches, and commercial changes are beginning to offset disruption.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How much of 1Q’s end-of-quarter purchasing benefit reversed or normalized in 2Q?</w:t>
      </w:r>
      <w:r>
        <w:br/>
      </w:r>
      <w:r>
        <w:t xml:space="preserve">This is essential for assessing the quality of the 1Q beat.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Is international distribution disruption peaking?</w:t>
      </w:r>
      <w:r>
        <w:br/>
      </w:r>
      <w:r>
        <w:t xml:space="preserve">Investors should seek specific evidence supporting the company’s expected mid-single-digit international growth in the second half.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Is the sales-force transformation on schedule and within the investment envelope?</w:t>
      </w:r>
      <w:r>
        <w:br/>
      </w:r>
      <w:r>
        <w:t xml:space="preserve">Metrics on dedicated-rep conversion, turnover, productivity, and account retention would be especially useful.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Can management reaffirm or raise the</w:t>
      </w:r>
      <w:r>
        <w:rPr>
          <w:b/>
          <w:bCs/>
        </w:rP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rPr>
          <w:b/>
          <w:bCs/>
        </w:rPr>
        <w:t xml:space="preserve">8.55 adjusted EPS range?</w:t>
      </w:r>
      <w:r>
        <w:br/>
      </w:r>
      <w:r>
        <w:t xml:space="preserve">A reaffirmation may be acceptable if revenue execution strengthens and the company preserves its expected second-half margin recovery.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What is the updated tariff and gross-margin outlook?</w:t>
      </w:r>
      <w:r>
        <w:br/>
      </w:r>
      <w:r>
        <w:t xml:space="preserve">The first-quarter benefit was material and non-recurring; investors need a clean underlying gross-margin bridge.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ZBH’s 2Q26 report is a</w:t>
      </w:r>
      <w:r>
        <w:t xml:space="preserve"> </w:t>
      </w:r>
      <w:r>
        <w:rPr>
          <w:b/>
          <w:bCs/>
        </w:rPr>
        <w:t xml:space="preserve">prove-it quarter</w:t>
      </w:r>
      <w:r>
        <w:t xml:space="preserve">. The company has the ingredients for a stronger medium-term story—technology momentum, a differentiated robotics pipeline, improving foot-and-ankle exposure, cash generation, buybacks, and a potentially more productive commercial model. But the market will likely demand evidence that these investments are beginning to translate into core reconstruction growth, particularly in knees, without causing a more prolonged margin drag.</w:t>
      </w:r>
    </w:p>
    <w:p>
      <w:pPr>
        <w:pStyle w:val="BodyText"/>
      </w:pPr>
      <w:r>
        <w:rPr>
          <w:b/>
          <w:bCs/>
        </w:rPr>
        <w:t xml:space="preserve">Bullish outcome:</w:t>
      </w:r>
      <w:r>
        <w:t xml:space="preserve"> </w:t>
      </w:r>
      <w:r>
        <w:t xml:space="preserve">organic growth at or above the high end of guidance, improved U.S. knees, stabilizing international trends, contained 2Q margin pressure, and maintained or raised full-year EPS guidance.</w:t>
      </w:r>
    </w:p>
    <w:p>
      <w:pPr>
        <w:pStyle w:val="BodyText"/>
      </w:pPr>
      <w:r>
        <w:rPr>
          <w:b/>
          <w:bCs/>
        </w:rPr>
        <w:t xml:space="preserve">Bearish outcome:</w:t>
      </w:r>
      <w:r>
        <w:t xml:space="preserve"> </w:t>
      </w:r>
      <w:r>
        <w:t xml:space="preserve">organic growth below plan, persistent knee/share weakness, deeper international disruption, or a full-year guide that suggests the 2Q margin trough will not recover as expected.</w:t>
      </w:r>
    </w:p>
    <w:p>
      <w:pPr>
        <w:pStyle w:val="BodyText"/>
      </w:pPr>
      <w:r>
        <w:rPr>
          <w:i/>
          <w:iCs/>
        </w:rPr>
        <w:t xml:space="preserve">Sources reviewed: Zimmer Biomet 1Q26 earnings release and conference call (April 28, 2026); 1Q26 Form 10-Q (filed May 1, 2026); 2Q25 earnings release; and market-price data through August 4, 2026.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2026-08-05T00:21:18Z</dcterms:created>
  <dcterms:modified xsi:type="dcterms:W3CDTF">2026-08-05T00:21:18Z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