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ZBRA before writing the preview. Let me gather recent earnings, filings, news, and price data.Let me read the most recent Q1 2026 earnings materials for guidance and key themes.Let me get the year-ago Q2 2025 comparison figures and check recent news/analyst sentiment.Let me check recent news and analyst sentiment via daily news and web search.# Zebra Technologies (ZBRA) — Q2 2026 Earnings Preview</w:t>
      </w:r>
    </w:p>
    <w:bookmarkStart w:id="9" w:name="Xce9ce3c97b8e7dc7d40b6d492761fbcadd23513"/>
    <w:p>
      <w:pPr>
        <w:pStyle w:val="Heading3"/>
      </w:pPr>
      <w:r>
        <w:t xml:space="preserve">Reports before the open, Tuesday, August 4, 2026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Zebra heads into Q2 on a hot streak — two straight guidance raises, record gross margins, and a strong Q1 beat — but with the stock having rallied ~10% in the two weeks into the print (to ~$292) and one dominant question hanging over the story:</w:t>
      </w:r>
      <w:r>
        <w:t xml:space="preserve"> </w:t>
      </w:r>
      <w:r>
        <w:rPr>
          <w:b/>
          <w:bCs/>
        </w:rPr>
        <w:t xml:space="preserve">can management keep fully mitigating the DRAM/memory cost spike as costs step up sequentially in Q2 and the back half?</w:t>
      </w:r>
    </w:p>
    <w:p>
      <w:r>
        <w:pict>
          <v:rect style="width:0;height:1.5pt" o:hralign="center" o:hrstd="t" o:hr="t"/>
        </w:pict>
      </w:r>
    </w:p>
    <w:bookmarkEnd w:id="10"/>
    <w:bookmarkStart w:id="11"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Company guide (given 5/12)</w:t>
            </w:r>
          </w:p>
        </w:tc>
        <w:tc>
          <w:tcPr/>
          <w:p>
            <w:pPr>
              <w:pStyle w:val="Compact"/>
            </w:pPr>
            <w:r>
              <w:t xml:space="preserve">Q2 2025 actual</w:t>
            </w:r>
          </w:p>
        </w:tc>
      </w:tr>
      <w:tr>
        <w:tc>
          <w:tcPr/>
          <w:p>
            <w:pPr>
              <w:pStyle w:val="Compact"/>
            </w:pPr>
            <w:r>
              <w:t xml:space="preserve">Non-GAAP diluted EPS</w:t>
            </w:r>
          </w:p>
        </w:tc>
        <w:tc>
          <w:tcPr/>
          <w:p>
            <w:pPr>
              <w:pStyle w:val="Compact"/>
            </w:pPr>
            <w:r>
              <w:t xml:space="preserve">~$4.35</w:t>
            </w:r>
          </w:p>
        </w:tc>
        <w:tc>
          <w:tcPr/>
          <w:p>
            <w:pPr>
              <w:pStyle w:val="Compact"/>
            </w:pPr>
            <w:r>
              <w:rPr>
                <w:b/>
                <w:bCs/>
              </w:rPr>
              <w:t xml:space="preserve">$4.20 – $4.50</w:t>
            </w:r>
          </w:p>
        </w:tc>
        <w:tc>
          <w:tcPr/>
          <w:p>
            <w:pPr>
              <w:pStyle w:val="Compact"/>
            </w:pPr>
            <w:r>
              <w:t xml:space="preserve">$3.61</w:t>
            </w:r>
          </w:p>
        </w:tc>
      </w:tr>
      <w:tr>
        <w:tc>
          <w:tcPr/>
          <w:p>
            <w:pPr>
              <w:pStyle w:val="Compact"/>
            </w:pPr>
            <w:r>
              <w:t xml:space="preserve">Revenue</w:t>
            </w:r>
          </w:p>
        </w:tc>
        <w:tc>
          <w:tcPr/>
          <w:p>
            <w:pPr>
              <w:pStyle w:val="Compact"/>
            </w:pPr>
            <w:r>
              <w:t xml:space="preserve">~$1.498B</w:t>
            </w:r>
          </w:p>
        </w:tc>
        <w:tc>
          <w:tcPr/>
          <w:p>
            <w:pPr>
              <w:pStyle w:val="Compact"/>
            </w:pPr>
            <w:r>
              <w:rPr>
                <w:b/>
                <w:bCs/>
              </w:rPr>
              <w:t xml:space="preserve">+14% to +17% Y/Y (~$1.47–1.51B)</w:t>
            </w:r>
          </w:p>
        </w:tc>
        <w:tc>
          <w:tcPr/>
          <w:p>
            <w:pPr>
              <w:pStyle w:val="Compact"/>
            </w:pPr>
            <w:r>
              <w:t xml:space="preserve">$1.293B</w:t>
            </w:r>
          </w:p>
        </w:tc>
      </w:tr>
      <w:tr>
        <w:tc>
          <w:tcPr/>
          <w:p>
            <w:pPr>
              <w:pStyle w:val="Compact"/>
            </w:pPr>
            <w:r>
              <w:t xml:space="preserve">Adj. EBITDA margin</w:t>
            </w:r>
          </w:p>
        </w:tc>
        <w:tc>
          <w:tcPr/>
          <w:p>
            <w:pPr>
              <w:pStyle w:val="Compact"/>
            </w:pPr>
            <w:r>
              <w:t xml:space="preserve">~21%</w:t>
            </w:r>
          </w:p>
        </w:tc>
        <w:tc>
          <w:tcPr/>
          <w:p>
            <w:pPr>
              <w:pStyle w:val="Compact"/>
            </w:pPr>
            <w:r>
              <w:rPr>
                <w:b/>
                <w:bCs/>
              </w:rPr>
              <w:t xml:space="preserve">"slightly higher than 21%"</w:t>
            </w:r>
          </w:p>
        </w:tc>
        <w:tc>
          <w:tcPr/>
          <w:p>
            <w:pPr>
              <w:pStyle w:val="Compact"/>
            </w:pPr>
            <w:r>
              <w:t xml:space="preserve">20.6%</w:t>
            </w:r>
          </w:p>
        </w:tc>
      </w:tr>
    </w:tbl>
    <w:p>
      <w:pPr>
        <w:pStyle w:val="Compact"/>
        <w:numPr>
          <w:ilvl w:val="0"/>
          <w:numId w:val="1001"/>
        </w:numPr>
      </w:pPr>
      <w:r>
        <w:t xml:space="preserve">Consensus sits essentially</w:t>
      </w:r>
      <w:r>
        <w:t xml:space="preserve"> </w:t>
      </w:r>
      <w:r>
        <w:rPr>
          <w:b/>
          <w:bCs/>
        </w:rPr>
        <w:t xml:space="preserve">at the guidance midpoint</w:t>
      </w:r>
      <w:r>
        <w:t xml:space="preserve"> </w:t>
      </w:r>
      <w:r>
        <w:t xml:space="preserve">on both EPS and revenue — i.e., the bar reflects an in-line-to-modest-beat outcome, not a blowout.</w:t>
      </w:r>
    </w:p>
    <w:p>
      <w:pPr>
        <w:pStyle w:val="Compact"/>
        <w:numPr>
          <w:ilvl w:val="0"/>
          <w:numId w:val="1001"/>
        </w:numPr>
      </w:pPr>
      <w:r>
        <w:t xml:space="preserve">The Q2 revenue guide embeds</w:t>
      </w:r>
      <w:r>
        <w:t xml:space="preserve"> </w:t>
      </w:r>
      <w:r>
        <w:rPr>
          <w:b/>
          <w:bCs/>
        </w:rPr>
        <w:t xml:space="preserve">~10.5 points of inorganic + FX benefit</w:t>
      </w:r>
      <w:r>
        <w:t xml:space="preserve"> </w:t>
      </w:r>
      <w:r>
        <w:t xml:space="preserve">(mostly the Elo Touch acquisition), implying</w:t>
      </w:r>
      <w:r>
        <w:t xml:space="preserve"> </w:t>
      </w:r>
      <w:r>
        <w:rPr>
          <w:b/>
          <w:bCs/>
        </w:rPr>
        <w:t xml:space="preserve">organic growth of roughly ~4–6%</w:t>
      </w:r>
      <w:r>
        <w:t xml:space="preserve">.</w:t>
      </w:r>
    </w:p>
    <w:p>
      <w:pPr>
        <w:pStyle w:val="Compact"/>
        <w:numPr>
          <w:ilvl w:val="0"/>
          <w:numId w:val="1001"/>
        </w:numPr>
      </w:pPr>
      <w:r>
        <w:t xml:space="preserve">Adjusted tax rate assumption: ~19%.</w:t>
      </w:r>
    </w:p>
    <w:p>
      <w:pPr>
        <w:pStyle w:val="FirstParagraph"/>
      </w:pPr>
      <w:r>
        <w:rPr>
          <w:b/>
          <w:bCs/>
        </w:rPr>
        <w:t xml:space="preserve">Beat track record:</w:t>
      </w:r>
      <w:r>
        <w:t xml:space="preserve"> </w:t>
      </w:r>
      <w:r>
        <w:t xml:space="preserve">ZBRA has a habit of guiding conservatively and beating. Q1 2026 non-GAAP EPS of</w:t>
      </w:r>
      <w:r>
        <w:t xml:space="preserve"> </w:t>
      </w:r>
      <m:oMath>
        <m:r>
          <m:t>4.75</m:t>
        </m:r>
        <m:r>
          <m:t>b</m:t>
        </m:r>
        <m:r>
          <m:t>l</m:t>
        </m:r>
        <m:r>
          <m:t>e</m:t>
        </m:r>
        <m:r>
          <m:t>w</m:t>
        </m:r>
        <m:r>
          <m:t>p</m:t>
        </m:r>
        <m:r>
          <m:t>a</m:t>
        </m:r>
        <m:r>
          <m:t>s</m:t>
        </m:r>
        <m:r>
          <m:t>t</m:t>
        </m:r>
        <m:r>
          <m:t>t</m:t>
        </m:r>
        <m:r>
          <m:t>h</m:t>
        </m:r>
        <m:r>
          <m:t>e</m:t>
        </m:r>
        <m:r>
          <m:t> </m:t>
        </m:r>
      </m:oMath>
      <w:r>
        <w:rPr>
          <w:b/>
          <w:bCs/>
        </w:rPr>
        <w:t xml:space="preserve">4.21 estimate (+13%)</w:t>
      </w:r>
      <w:r>
        <w:t xml:space="preserve"> </w:t>
      </w:r>
      <w:r>
        <w:t xml:space="preserve">on sales of $1.495B (+14.3%, +4.3% organic). Management explicitly said momentum "continued into Q2."</w:t>
      </w:r>
    </w:p>
    <w:p>
      <w:r>
        <w:pict>
          <v:rect style="width:0;height:1.5pt" o:hralign="center" o:hrstd="t" o:hr="t"/>
        </w:pict>
      </w:r>
    </w:p>
    <w:bookmarkEnd w:id="11"/>
    <w:bookmarkStart w:id="17" w:name="the-five-things-that-actually-matter"/>
    <w:p>
      <w:pPr>
        <w:pStyle w:val="Heading2"/>
      </w:pPr>
      <w:r>
        <w:t xml:space="preserve">The five things that actually matter</w:t>
      </w:r>
    </w:p>
    <w:bookmarkStart w:id="12" w:name="X06bcef7f5871151723878994117f52aba1d0c71"/>
    <w:p>
      <w:pPr>
        <w:pStyle w:val="Heading3"/>
      </w:pPr>
      <w:r>
        <w:t xml:space="preserve">1. Memory (DRAM) — the whole ballgame for margins</w:t>
      </w:r>
    </w:p>
    <w:p>
      <w:pPr>
        <w:pStyle w:val="FirstParagraph"/>
      </w:pPr>
      <w:r>
        <w:t xml:space="preserve">This is the single most important line of questioning. Against an industry backdrop of a sharp 2026 memory shortage/price surge (contract DRAM prices were still projected up ~13–18% Q/Q into Q3 2026 on AI-driven demand), Zebra has framed a **~2-point full-year gross-margin headwind** that it claims it can</w:t>
      </w:r>
      <w:r>
        <w:t xml:space="preserve"> </w:t>
      </w:r>
      <w:r>
        <w:rPr>
          <w:b/>
          <w:bCs/>
        </w:rPr>
        <w:t xml:space="preserve">fully offset</w:t>
      </w:r>
      <w:r>
        <w:t xml:space="preserve">.</w:t>
      </w:r>
    </w:p>
    <w:p>
      <w:pPr>
        <w:pStyle w:val="BodyText"/>
      </w:pPr>
      <w:r>
        <w:t xml:space="preserve">Key nuances management laid out last quarter, which investors should pressure-test:</w:t>
      </w:r>
    </w:p>
    <w:p>
      <w:pPr>
        <w:pStyle w:val="Compact"/>
        <w:numPr>
          <w:ilvl w:val="0"/>
          <w:numId w:val="1002"/>
        </w:numPr>
      </w:pPr>
      <w:r>
        <w:rPr>
          <w:b/>
          <w:bCs/>
        </w:rPr>
        <w:t xml:space="preserve">Q2 is the inflection quarter.</w:t>
      </w:r>
      <w:r>
        <w:t xml:space="preserve"> </w:t>
      </w:r>
      <w:r>
        <w:t xml:space="preserve">The sequential EBITDA-margin step-down from Q1's 23.2% to "slightly above 21%" is</w:t>
      </w:r>
      <w:r>
        <w:t xml:space="preserve"> </w:t>
      </w:r>
      <w:r>
        <w:rPr>
          <w:b/>
          <w:bCs/>
        </w:rPr>
        <w:t xml:space="preserve">~1.5 points driven by higher memory cost</w:t>
      </w:r>
      <w:r>
        <w:t xml:space="preserve"> </w:t>
      </w:r>
      <w:r>
        <w:t xml:space="preserve">(plus normalized deal mix). Management expects costs to keep rising</w:t>
      </w:r>
      <w:r>
        <w:t xml:space="preserve"> </w:t>
      </w:r>
      <w:r>
        <w:rPr>
          <w:i/>
          <w:iCs/>
        </w:rPr>
        <w:t xml:space="preserve">modestly</w:t>
      </w:r>
      <w:r>
        <w:t xml:space="preserve"> </w:t>
      </w:r>
      <w:r>
        <w:t xml:space="preserve">into Q3/Q4, offset by rising price realization.</w:t>
      </w:r>
    </w:p>
    <w:p>
      <w:pPr>
        <w:pStyle w:val="Compact"/>
        <w:numPr>
          <w:ilvl w:val="0"/>
          <w:numId w:val="1002"/>
        </w:numPr>
      </w:pPr>
      <w:r>
        <w:rPr>
          <w:b/>
          <w:bCs/>
        </w:rPr>
        <w:t xml:space="preserve">Mitigation = ~half price increases, ~half operational</w:t>
      </w:r>
      <w:r>
        <w:t xml:space="preserve"> </w:t>
      </w:r>
      <w:r>
        <w:t xml:space="preserve">(restructuring savings, productivity, FX, volume leverage). Zebra buys the "vast majority" of memory</w:t>
      </w:r>
      <w:r>
        <w:t xml:space="preserve"> </w:t>
      </w:r>
      <w:r>
        <w:rPr>
          <w:b/>
          <w:bCs/>
        </w:rPr>
        <w:t xml:space="preserve">direct</w:t>
      </w:r>
      <w:r>
        <w:t xml:space="preserve">, so its cost is running below spot.</w:t>
      </w:r>
    </w:p>
    <w:p>
      <w:pPr>
        <w:pStyle w:val="Compact"/>
        <w:numPr>
          <w:ilvl w:val="0"/>
          <w:numId w:val="1002"/>
        </w:numPr>
      </w:pPr>
      <w:r>
        <w:rPr>
          <w:b/>
          <w:bCs/>
        </w:rPr>
        <w:t xml:space="preserve">Supply, not just cost:</w:t>
      </w:r>
      <w:r>
        <w:t xml:space="preserve"> </w:t>
      </w:r>
      <w:r>
        <w:t xml:space="preserve">management says it has line-of-sight to the supply needed for its guide, is transitioning to higher-density components (capacity expected to improve into 2027), and sees "unconstrained demand" near the</w:t>
      </w:r>
      <w:r>
        <w:t xml:space="preserve"> </w:t>
      </w:r>
      <w:r>
        <w:rPr>
          <w:b/>
          <w:bCs/>
        </w:rPr>
        <w:t xml:space="preserve">high end</w:t>
      </w:r>
      <w:r>
        <w:t xml:space="preserve"> </w:t>
      </w:r>
      <w:r>
        <w:t xml:space="preserve">of the range — i.e., supply is the governor on upside.</w:t>
      </w:r>
    </w:p>
    <w:p>
      <w:pPr>
        <w:pStyle w:val="FirstParagraph"/>
      </w:pPr>
      <w:r>
        <w:rPr>
          <w:b/>
          <w:bCs/>
        </w:rPr>
        <w:t xml:space="preserve">What to watch:</w:t>
      </w:r>
      <w:r>
        <w:t xml:space="preserve"> </w:t>
      </w:r>
      <w:r>
        <w:t xml:space="preserve">any change in the "fully mitigated" language, the H2 margin cadence, and whether they've secured incremental H2 memory allocation (a potential upside unlock).</w:t>
      </w:r>
    </w:p>
    <w:bookmarkEnd w:id="12"/>
    <w:bookmarkStart w:id="13" w:name="X5b22e5b1b2922aeec9d3e2eed8ab64016e0119a"/>
    <w:p>
      <w:pPr>
        <w:pStyle w:val="Heading3"/>
      </w:pPr>
      <w:r>
        <w:t xml:space="preserve">2. Will they raise full-year guidance a third time?</w:t>
      </w:r>
    </w:p>
    <w:p>
      <w:pPr>
        <w:pStyle w:val="FirstParagraph"/>
      </w:pPr>
      <w:r>
        <w:t xml:space="preserve">Current FY26 framework:</w:t>
      </w:r>
      <w:r>
        <w:t xml:space="preserve"> </w:t>
      </w:r>
      <w:r>
        <w:rPr>
          <w:b/>
          <w:bCs/>
        </w:rPr>
        <w:t xml:space="preserve">sales +10–14%</w:t>
      </w:r>
      <w:r>
        <w:t xml:space="preserve">,</w:t>
      </w:r>
      <w:r>
        <w:t xml:space="preserve"> </w:t>
      </w:r>
      <w:r>
        <w:rPr>
          <w:b/>
          <w:bCs/>
        </w:rPr>
        <w:t xml:space="preserve">adj. EBITDA margin ~22%</w:t>
      </w:r>
      <w:r>
        <w:t xml:space="preserve">,</w:t>
      </w:r>
      <w:r>
        <w:t xml:space="preserve"> </w:t>
      </w:r>
      <w:r>
        <w:rPr>
          <w:b/>
          <w:bCs/>
        </w:rPr>
        <w:t xml:space="preserve">non-GAAP EPS</w:t>
      </w:r>
      <w:r>
        <w:rPr>
          <w:b/>
          <w:bCs/>
        </w:rPr>
        <w:t xml:space="preserve"> </w:t>
      </w:r>
      <m:oMath>
        <m:r>
          <m:t>18.30</m:t>
        </m:r>
        <m:r>
          <m:rPr>
            <m:sty m:val="p"/>
          </m:rPr>
          <m:t>–</m:t>
        </m:r>
      </m:oMath>
      <w:r>
        <w:rPr>
          <w:b/>
          <w:bCs/>
        </w:rPr>
        <w:t xml:space="preserve">18.70</w:t>
      </w:r>
      <w:r>
        <w:t xml:space="preserve">,</w:t>
      </w:r>
      <w:r>
        <w:t xml:space="preserve"> </w:t>
      </w:r>
      <w:r>
        <w:rPr>
          <w:b/>
          <w:bCs/>
        </w:rPr>
        <w:t xml:space="preserve">FCF &gt; $900M (~100% conversion)</w:t>
      </w:r>
      <w:r>
        <w:t xml:space="preserve">. With Q1 at $4.75 and a strong Q2 setup, the H1/H2 math is the tell — a strong Q2 without a raise would signal caution about H2 memory costs; a raise would extend the two-quarter streak and likely be the day's swing factor given the run-up in the shares.</w:t>
      </w:r>
    </w:p>
    <w:bookmarkEnd w:id="13"/>
    <w:bookmarkStart w:id="14" w:name="X09cb9acff1cf1bd632456466da4272e1dd95c36"/>
    <w:p>
      <w:pPr>
        <w:pStyle w:val="Heading3"/>
      </w:pPr>
      <w:r>
        <w:t xml:space="preserve">3. Organic demand breadth — is it durable?</w:t>
      </w:r>
    </w:p>
    <w:p>
      <w:pPr>
        <w:pStyle w:val="FirstParagraph"/>
      </w:pPr>
      <w:r>
        <w:t xml:space="preserve">Q1 growth was broad-based across regions and both segments,</w:t>
      </w:r>
      <w:r>
        <w:t xml:space="preserve"> </w:t>
      </w:r>
      <w:r>
        <w:rPr>
          <w:b/>
          <w:bCs/>
        </w:rPr>
        <w:t xml:space="preserve">led by manufacturing</w:t>
      </w:r>
      <w:r>
        <w:t xml:space="preserve"> </w:t>
      </w:r>
      <w:r>
        <w:t xml:space="preserve">(semiconductor, auto), with</w:t>
      </w:r>
      <w:r>
        <w:t xml:space="preserve"> </w:t>
      </w:r>
      <w:r>
        <w:rPr>
          <w:b/>
          <w:bCs/>
        </w:rPr>
        <w:t xml:space="preserve">machine vision up strong double digits</w:t>
      </w:r>
      <w:r>
        <w:t xml:space="preserve"> </w:t>
      </w:r>
      <w:r>
        <w:t xml:space="preserve">(a long-awaited inflection), plus retail/e-commerce and healthcare strength. Watch for:</w:t>
      </w:r>
    </w:p>
    <w:p>
      <w:pPr>
        <w:pStyle w:val="Compact"/>
        <w:numPr>
          <w:ilvl w:val="0"/>
          <w:numId w:val="1003"/>
        </w:numPr>
      </w:pPr>
      <w:r>
        <w:t xml:space="preserve">Confirmation that</w:t>
      </w:r>
      <w:r>
        <w:t xml:space="preserve"> </w:t>
      </w:r>
      <w:r>
        <w:rPr>
          <w:b/>
          <w:bCs/>
        </w:rPr>
        <w:t xml:space="preserve">manufacturing and machine vision</w:t>
      </w:r>
      <w:r>
        <w:t xml:space="preserve"> </w:t>
      </w:r>
      <w:r>
        <w:t xml:space="preserve">momentum continued.</w:t>
      </w:r>
    </w:p>
    <w:p>
      <w:pPr>
        <w:pStyle w:val="Compact"/>
        <w:numPr>
          <w:ilvl w:val="0"/>
          <w:numId w:val="1003"/>
        </w:numPr>
      </w:pPr>
      <w:r>
        <w:rPr>
          <w:b/>
          <w:bCs/>
        </w:rPr>
        <w:t xml:space="preserve">RFID</w:t>
      </w:r>
      <w:r>
        <w:t xml:space="preserve"> </w:t>
      </w:r>
      <w:r>
        <w:t xml:space="preserve">re-acceleration (Q1 declined on tough compares; management guided to growth in Q2/FY).</w:t>
      </w:r>
    </w:p>
    <w:p>
      <w:pPr>
        <w:pStyle w:val="Compact"/>
        <w:numPr>
          <w:ilvl w:val="0"/>
          <w:numId w:val="1003"/>
        </w:numPr>
      </w:pPr>
      <w:r>
        <w:t xml:space="preserve">Commentary on the</w:t>
      </w:r>
      <w:r>
        <w:t xml:space="preserve"> </w:t>
      </w:r>
      <w:r>
        <w:rPr>
          <w:b/>
          <w:bCs/>
        </w:rPr>
        <w:t xml:space="preserve">large transportation &amp; logistics (T&amp;L) refresh cycle</w:t>
      </w:r>
      <w:r>
        <w:t xml:space="preserve">, which management is pointing to as a</w:t>
      </w:r>
      <w:r>
        <w:t xml:space="preserve"> </w:t>
      </w:r>
      <w:r>
        <w:rPr>
          <w:b/>
          <w:bCs/>
        </w:rPr>
        <w:t xml:space="preserve">2027</w:t>
      </w:r>
      <w:r>
        <w:t xml:space="preserve"> </w:t>
      </w:r>
      <w:r>
        <w:t xml:space="preserve">catalyst — pipeline color here shapes the out-year narrative.</w:t>
      </w:r>
    </w:p>
    <w:bookmarkEnd w:id="14"/>
    <w:bookmarkStart w:id="15" w:name="X27ab44e54ccb77c7e9d4fc0dc403c07f96ac827"/>
    <w:p>
      <w:pPr>
        <w:pStyle w:val="Heading3"/>
      </w:pPr>
      <w:r>
        <w:t xml:space="preserve">4. Elo Touch integration</w:t>
      </w:r>
    </w:p>
    <w:p>
      <w:pPr>
        <w:pStyle w:val="FirstParagraph"/>
      </w:pPr>
      <w:r>
        <w:t xml:space="preserve">The ~$1.3B Elo acquisition (closed 2025) is now the main inorganic driver (added ~14.7 pts to the Connected Frontline segment in Q1). Guided to</w:t>
      </w:r>
      <w:r>
        <w:t xml:space="preserve"> </w:t>
      </w:r>
      <w:r>
        <w:rPr>
          <w:b/>
          <w:bCs/>
        </w:rPr>
        <w:t xml:space="preserve">mid-single-digit growth in 2026</w:t>
      </w:r>
      <w:r>
        <w:t xml:space="preserve"> </w:t>
      </w:r>
      <w:r>
        <w:t xml:space="preserve">with early revenue + cost synergies and new-geography wins (e.g., India). Look for updated synergy progress and margin contribution.</w:t>
      </w:r>
    </w:p>
    <w:p>
      <w:pPr>
        <w:pStyle w:val="BlockText"/>
      </w:pPr>
      <w:r>
        <w:t xml:space="preserve">Note the</w:t>
      </w:r>
      <w:r>
        <w:t xml:space="preserve"> </w:t>
      </w:r>
      <w:r>
        <w:rPr>
          <w:b/>
          <w:bCs/>
        </w:rPr>
        <w:t xml:space="preserve">new segment structure</w:t>
      </w:r>
      <w:r>
        <w:t xml:space="preserve"> </w:t>
      </w:r>
      <w:r>
        <w:t xml:space="preserve">in 2026:</w:t>
      </w:r>
      <w:r>
        <w:t xml:space="preserve"> </w:t>
      </w:r>
      <w:r>
        <w:rPr>
          <w:b/>
          <w:bCs/>
        </w:rPr>
        <w:t xml:space="preserve">Connected Frontline (CF)</w:t>
      </w:r>
      <w:r>
        <w:t xml:space="preserve"> </w:t>
      </w:r>
      <w:r>
        <w:t xml:space="preserve">and</w:t>
      </w:r>
      <w:r>
        <w:t xml:space="preserve"> </w:t>
      </w:r>
      <w:r>
        <w:rPr>
          <w:b/>
          <w:bCs/>
        </w:rPr>
        <w:t xml:space="preserve">Asset Visibility &amp; Automation (AVA)</w:t>
      </w:r>
      <w:r>
        <w:t xml:space="preserve"> </w:t>
      </w:r>
      <w:r>
        <w:t xml:space="preserve">— replacing the old EVM/AIT reporting. Q1: CF $825M (+20.6% reported, +3.8% organic), AVA $670M (+4.8% organic).</w:t>
      </w:r>
    </w:p>
    <w:bookmarkEnd w:id="15"/>
    <w:bookmarkStart w:id="16" w:name="X441e38885302ce123a6f05445b71417b94bb731"/>
    <w:p>
      <w:pPr>
        <w:pStyle w:val="Heading3"/>
      </w:pPr>
      <w:r>
        <w:t xml:space="preserve">5. Capital allocation / buyback pace</w:t>
      </w:r>
    </w:p>
    <w:p>
      <w:pPr>
        <w:pStyle w:val="FirstParagraph"/>
      </w:pPr>
      <w:r>
        <w:t xml:space="preserve">Zebra has been aggressive:</w:t>
      </w:r>
      <w:r>
        <w:t xml:space="preserve"> </w:t>
      </w:r>
      <m:oMath>
        <m:r>
          <m:t>300</m:t>
        </m:r>
        <m:r>
          <m:t>M</m:t>
        </m:r>
        <m:r>
          <m:t>o</m:t>
        </m:r>
        <m:r>
          <m:t>f</m:t>
        </m:r>
        <m:r>
          <m:t>r</m:t>
        </m:r>
        <m:r>
          <m:t>e</m:t>
        </m:r>
        <m:r>
          <m:t>p</m:t>
        </m:r>
        <m:r>
          <m:t>u</m:t>
        </m:r>
        <m:r>
          <m:t>r</m:t>
        </m:r>
        <m:r>
          <m:t>c</m:t>
        </m:r>
        <m:r>
          <m:t>h</m:t>
        </m:r>
        <m:r>
          <m:t>a</m:t>
        </m:r>
        <m:r>
          <m:t>s</m:t>
        </m:r>
        <m:r>
          <m:t>e</m:t>
        </m:r>
        <m:r>
          <m:t>s</m:t>
        </m:r>
        <m:r>
          <m:t>i</m:t>
        </m:r>
        <m:r>
          <m:t>n</m:t>
        </m:r>
        <m:r>
          <m:t>e</m:t>
        </m:r>
        <m:r>
          <m:t>a</m:t>
        </m:r>
        <m:r>
          <m:t>c</m:t>
        </m:r>
        <m:r>
          <m:t>h</m:t>
        </m:r>
        <m:r>
          <m:t>o</m:t>
        </m:r>
        <m:r>
          <m:t>f</m:t>
        </m:r>
        <m:r>
          <m:t>t</m:t>
        </m:r>
        <m:r>
          <m:t>h</m:t>
        </m:r>
        <m:r>
          <m:t>e</m:t>
        </m:r>
        <m:r>
          <m:t>l</m:t>
        </m:r>
        <m:r>
          <m:t>a</m:t>
        </m:r>
        <m:r>
          <m:t>s</m:t>
        </m:r>
        <m:r>
          <m:t>t</m:t>
        </m:r>
        <m:r>
          <m:t>t</m:t>
        </m:r>
        <m:r>
          <m:t>w</m:t>
        </m:r>
        <m:r>
          <m:t>o</m:t>
        </m:r>
        <m:r>
          <m:t>q</m:t>
        </m:r>
        <m:r>
          <m:t>u</m:t>
        </m:r>
        <m:r>
          <m:t>a</m:t>
        </m:r>
        <m:r>
          <m:t>r</m:t>
        </m:r>
        <m:r>
          <m:t>t</m:t>
        </m:r>
        <m:r>
          <m:t>e</m:t>
        </m:r>
        <m:r>
          <m:t>r</m:t>
        </m:r>
        <m:r>
          <m:t>s</m:t>
        </m:r>
        <m:r>
          <m:rPr>
            <m:sty m:val="p"/>
          </m:rPr>
          <m:t>*</m:t>
        </m:r>
        <m:r>
          <m:rPr>
            <m:sty m:val="p"/>
          </m:rPr>
          <m:t>*</m:t>
        </m:r>
        <m:r>
          <m:t>a</m:t>
        </m:r>
        <m:r>
          <m:t>n</m:t>
        </m:r>
        <m:r>
          <m:t>d</m:t>
        </m:r>
        <m:r>
          <m:rPr>
            <m:sty m:val="p"/>
          </m:rPr>
          <m:t>*</m:t>
        </m:r>
        <m:r>
          <m:rPr>
            <m:sty m:val="p"/>
          </m:rPr>
          <m:t>*</m:t>
        </m:r>
      </m:oMath>
      <w:r>
        <w:rPr>
          <w:b/>
          <w:bCs/>
        </w:rPr>
        <w:t xml:space="preserve">500M YTD through early May</w:t>
      </w:r>
      <w:r>
        <w:t xml:space="preserve">, funded by strong FCF and a modest</w:t>
      </w:r>
      <w:r>
        <w:t xml:space="preserve"> </w:t>
      </w:r>
      <w:r>
        <w:rPr>
          <w:b/>
          <w:bCs/>
        </w:rPr>
        <w:t xml:space="preserve">2.1x leverage</w:t>
      </w:r>
      <w:r>
        <w:t xml:space="preserve"> </w:t>
      </w:r>
      <w:r>
        <w:t xml:space="preserve">ratio (~</w:t>
      </w:r>
      <m:oMath>
        <m:r>
          <m:t>2.66</m:t>
        </m:r>
        <m:r>
          <m:t>B</m:t>
        </m:r>
        <m:r>
          <m:t>t</m:t>
        </m:r>
        <m:r>
          <m:t>o</m:t>
        </m:r>
        <m:r>
          <m:t>t</m:t>
        </m:r>
        <m:r>
          <m:t>a</m:t>
        </m:r>
        <m:r>
          <m:t>l</m:t>
        </m:r>
        <m:r>
          <m:t>d</m:t>
        </m:r>
        <m:r>
          <m:t>e</m:t>
        </m:r>
        <m:r>
          <m:t>b</m:t>
        </m:r>
        <m:r>
          <m:t>t</m:t>
        </m:r>
        <m:r>
          <m:rPr>
            <m:sty m:val="p"/>
          </m:rPr>
          <m:t>)</m:t>
        </m:r>
        <m:r>
          <m:rPr>
            <m:sty m:val="p"/>
          </m:rPr>
          <m:t>.</m:t>
        </m:r>
        <m:r>
          <m:t>T</m:t>
        </m:r>
        <m:r>
          <m:t>h</m:t>
        </m:r>
        <m:r>
          <m:t>e</m:t>
        </m:r>
        <m:r>
          <m:t>F</m:t>
        </m:r>
        <m:r>
          <m:t>Y</m:t>
        </m:r>
        <m:r>
          <m:t>g</m:t>
        </m:r>
        <m:r>
          <m:t>u</m:t>
        </m:r>
        <m:r>
          <m:t>i</m:t>
        </m:r>
        <m:r>
          <m:t>d</m:t>
        </m:r>
        <m:r>
          <m:t>e</m:t>
        </m:r>
        <m:r>
          <m:t>o</m:t>
        </m:r>
        <m:r>
          <m:t>n</m:t>
        </m:r>
        <m:r>
          <m:t>l</m:t>
        </m:r>
        <m:r>
          <m:t>y</m:t>
        </m:r>
        <m:r>
          <m:rPr>
            <m:sty m:val="p"/>
          </m:rPr>
          <m:t>*</m:t>
        </m:r>
        <m:r>
          <m:t>a</m:t>
        </m:r>
        <m:r>
          <m:t>s</m:t>
        </m:r>
        <m:r>
          <m:t>s</m:t>
        </m:r>
        <m:r>
          <m:t>u</m:t>
        </m:r>
        <m:r>
          <m:t>m</m:t>
        </m:r>
        <m:r>
          <m:t>e</m:t>
        </m:r>
        <m:r>
          <m:t>s</m:t>
        </m:r>
        <m:r>
          <m:rPr>
            <m:sty m:val="p"/>
          </m:rPr>
          <m:t>*</m:t>
        </m:r>
        <m:r>
          <m:t>a</m:t>
        </m:r>
        <m:r>
          <m:t>n</m:t>
        </m:r>
        <m:r>
          <m:t>o</m:t>
        </m:r>
        <m:r>
          <m:t>t</m:t>
        </m:r>
        <m:r>
          <m:t>h</m:t>
        </m:r>
        <m:r>
          <m:t>e</m:t>
        </m:r>
        <m:r>
          <m:t>r</m:t>
        </m:r>
        <m:r>
          <m:t> </m:t>
        </m:r>
      </m:oMath>
      <w:r>
        <w:t xml:space="preserve">100M, but management flagged flexibility to deploy</w:t>
      </w:r>
      <w:r>
        <w:t xml:space="preserve"> </w:t>
      </w:r>
      <w:r>
        <w:rPr>
          <w:b/>
          <w:bCs/>
        </w:rPr>
        <w:t xml:space="preserve">all</w:t>
      </w:r>
      <w:r>
        <w:t xml:space="preserve"> </w:t>
      </w:r>
      <w:r>
        <w:t xml:space="preserve">free cash flow if the stock stays attractive — so actual buyback pace and any updated intent is a signal of management's valuation conviction.</w:t>
      </w:r>
    </w:p>
    <w:p>
      <w:r>
        <w:pict>
          <v:rect style="width:0;height:1.5pt" o:hralign="center" o:hrstd="t" o:hr="t"/>
        </w:pict>
      </w:r>
    </w:p>
    <w:bookmarkEnd w:id="16"/>
    <w:bookmarkEnd w:id="17"/>
    <w:bookmarkStart w:id="18" w:name="stock-valuation--positioning"/>
    <w:p>
      <w:pPr>
        <w:pStyle w:val="Heading2"/>
      </w:pPr>
      <w:r>
        <w:t xml:space="preserve">Stock, valuation &amp; positioning</w:t>
      </w:r>
    </w:p>
    <w:p>
      <w:pPr>
        <w:pStyle w:val="Compact"/>
        <w:numPr>
          <w:ilvl w:val="0"/>
          <w:numId w:val="1004"/>
        </w:numPr>
      </w:pPr>
      <w:r>
        <w:rPr>
          <w:b/>
          <w:bCs/>
        </w:rPr>
        <w:t xml:space="preserve">Price:</w:t>
      </w:r>
      <w:r>
        <w:t xml:space="preserve"> </w:t>
      </w:r>
      <w:r>
        <w:t xml:space="preserve">~</w:t>
      </w:r>
      <m:oMath>
        <m:r>
          <m:t>291.68</m:t>
        </m:r>
        <m:r>
          <m:rPr>
            <m:sty m:val="p"/>
          </m:rPr>
          <m:t>(</m:t>
        </m:r>
        <m:r>
          <m:t>8</m:t>
        </m:r>
        <m:r>
          <m:rPr>
            <m:sty m:val="p"/>
          </m:rPr>
          <m:t>/</m:t>
        </m:r>
        <m:r>
          <m:t>3</m:t>
        </m:r>
        <m:r>
          <m:rPr>
            <m:sty m:val="p"/>
          </m:rPr>
          <m:t>/</m:t>
        </m:r>
        <m:r>
          <m:t>26</m:t>
        </m:r>
        <m:r>
          <m:rPr>
            <m:sty m:val="p"/>
          </m:rPr>
          <m:t>)</m:t>
        </m:r>
        <m:r>
          <m:rPr>
            <m:sty m:val="p"/>
          </m:rPr>
          <m:t>,</m:t>
        </m:r>
        <m:r>
          <m:t>u</m:t>
        </m:r>
        <m:r>
          <m:t>p</m:t>
        </m:r>
        <m:r>
          <m:t> </m:t>
        </m:r>
        <m:r>
          <m:t>17</m:t>
        </m:r>
      </m:oMath>
      <w:r>
        <w:t xml:space="preserve">274 in Feb, cratered to ~$200 in the March tariff selloff, then recovered to new highs).</w:t>
      </w:r>
    </w:p>
    <w:p>
      <w:pPr>
        <w:pStyle w:val="Compact"/>
        <w:numPr>
          <w:ilvl w:val="0"/>
          <w:numId w:val="1004"/>
        </w:numPr>
      </w:pPr>
      <w:r>
        <w:rPr>
          <w:b/>
          <w:bCs/>
        </w:rPr>
        <w:t xml:space="preserve">Valuation:</w:t>
      </w:r>
      <w:r>
        <w:t xml:space="preserve"> </w:t>
      </w:r>
      <w:r>
        <w:t xml:space="preserve">~16x the FY26 EPS midpoint (~$18.50) — reasonable-to-undemanding versus ZBRA's historical high-teens/low-20s multiple, reflecting lingering memory-margin and cyclical-demand concerns.</w:t>
      </w:r>
    </w:p>
    <w:p>
      <w:pPr>
        <w:pStyle w:val="Compact"/>
        <w:numPr>
          <w:ilvl w:val="0"/>
          <w:numId w:val="1004"/>
        </w:numPr>
      </w:pPr>
      <w:r>
        <w:rPr>
          <w:b/>
          <w:bCs/>
        </w:rPr>
        <w:t xml:space="preserve">Sentiment:</w:t>
      </w:r>
      <w:r>
        <w:t xml:space="preserve"> </w:t>
      </w:r>
      <w:r>
        <w:t xml:space="preserve">Broadly constructive; UBS reiterated **Buy,</w:t>
      </w:r>
      <w:r>
        <w:t xml:space="preserve"> </w:t>
      </w:r>
      <m:oMath>
        <m:r>
          <m:t>335</m:t>
        </m:r>
        <m:r>
          <m:t>P</m:t>
        </m:r>
        <m:r>
          <m:t>T</m:t>
        </m:r>
        <m:r>
          <m:rPr>
            <m:sty m:val="p"/>
          </m:rPr>
          <m:t>*</m:t>
        </m:r>
        <m:r>
          <m:rPr>
            <m:sty m:val="p"/>
          </m:rPr>
          <m:t>*</m:t>
        </m:r>
        <m:r>
          <m:rPr>
            <m:sty m:val="p"/>
          </m:rPr>
          <m:t>(</m:t>
        </m:r>
        <m:r>
          <m:t>J</m:t>
        </m:r>
        <m:r>
          <m:t>u</m:t>
        </m:r>
        <m:r>
          <m:t>l</m:t>
        </m:r>
        <m:r>
          <m:t>y</m:t>
        </m:r>
        <m:r>
          <m:rPr>
            <m:sty m:val="p"/>
          </m:rPr>
          <m:t>)</m:t>
        </m:r>
        <m:r>
          <m:rPr>
            <m:sty m:val="p"/>
          </m:rPr>
          <m:t>.</m:t>
        </m:r>
        <m:r>
          <m:t>P</m:t>
        </m:r>
        <m:r>
          <m:t>u</m:t>
        </m:r>
        <m:r>
          <m:t>b</m:t>
        </m:r>
        <m:r>
          <m:t>l</m:t>
        </m:r>
        <m:r>
          <m:t>i</m:t>
        </m:r>
        <m:r>
          <m:t>s</m:t>
        </m:r>
        <m:r>
          <m:t>h</m:t>
        </m:r>
        <m:r>
          <m:t>e</m:t>
        </m:r>
        <m:r>
          <m:t>d</m:t>
        </m:r>
        <m:r>
          <m:t>t</m:t>
        </m:r>
        <m:r>
          <m:t>a</m:t>
        </m:r>
        <m:r>
          <m:t>r</m:t>
        </m:r>
        <m:r>
          <m:t>g</m:t>
        </m:r>
        <m:r>
          <m:t>e</m:t>
        </m:r>
        <m:r>
          <m:t>t</m:t>
        </m:r>
        <m:r>
          <m:t>s</m:t>
        </m:r>
        <m:r>
          <m:t>a</m:t>
        </m:r>
        <m:r>
          <m:t>r</m:t>
        </m:r>
        <m:r>
          <m:t>e</m:t>
        </m:r>
        <m:r>
          <m:t>s</m:t>
        </m:r>
        <m:r>
          <m:t>c</m:t>
        </m:r>
        <m:r>
          <m:t>a</m:t>
        </m:r>
        <m:r>
          <m:t>t</m:t>
        </m:r>
        <m:r>
          <m:t>t</m:t>
        </m:r>
        <m:r>
          <m:t>e</m:t>
        </m:r>
        <m:r>
          <m:t>r</m:t>
        </m:r>
        <m:r>
          <m:t>e</m:t>
        </m:r>
        <m:r>
          <m:t>d</m:t>
        </m:r>
        <m:r>
          <m:rPr>
            <m:sty m:val="p"/>
          </m:rPr>
          <m:t>(</m:t>
        </m:r>
        <m:r>
          <m:t>r</m:t>
        </m:r>
        <m:r>
          <m:t>o</m:t>
        </m:r>
        <m:r>
          <m:t>u</m:t>
        </m:r>
        <m:r>
          <m:t>g</m:t>
        </m:r>
        <m:r>
          <m:t>h</m:t>
        </m:r>
        <m:r>
          <m:t>l</m:t>
        </m:r>
        <m:r>
          <m:t>y</m:t>
        </m:r>
        <m:r>
          <m:t> </m:t>
        </m:r>
      </m:oMath>
      <w:r>
        <w:t xml:space="preserve">284 to ~$365), reflecting genuine debate over how the memory cycle and mobile-compute refresh play out.</w:t>
      </w:r>
    </w:p>
    <w:p>
      <w:r>
        <w:pict>
          <v:rect style="width:0;height:1.5pt" o:hralign="center" o:hrstd="t" o:hr="t"/>
        </w:pict>
      </w:r>
    </w:p>
    <w:bookmarkEnd w:id="18"/>
    <w:bookmarkStart w:id="19" w:name="bull-vs-bear-into-the-print"/>
    <w:p>
      <w:pPr>
        <w:pStyle w:val="Heading2"/>
      </w:pPr>
      <w:r>
        <w:t xml:space="preserve">Bull vs. bear into the print</w:t>
      </w:r>
    </w:p>
    <w:p>
      <w:pPr>
        <w:pStyle w:val="FirstParagraph"/>
      </w:pPr>
      <w:r>
        <w:rPr>
          <w:b/>
          <w:bCs/>
        </w:rPr>
        <w:t xml:space="preserve">Bull case:</w:t>
      </w:r>
      <w:r>
        <w:t xml:space="preserve"> </w:t>
      </w:r>
      <w:r>
        <w:t xml:space="preserve">Guidance raise #3; memory "fully mitigated" thesis holds with H2 price realization ramping; manufacturing/machine vision/RFID all growing; Elo synergies building; big buyback; 2027 T&amp;L refresh cycle as a visible next leg — all at a below-historical multiple.</w:t>
      </w:r>
    </w:p>
    <w:p>
      <w:pPr>
        <w:pStyle w:val="BodyText"/>
      </w:pPr>
      <w:r>
        <w:rPr>
          <w:b/>
          <w:bCs/>
        </w:rPr>
        <w:t xml:space="preserve">Bear case:</w:t>
      </w:r>
      <w:r>
        <w:t xml:space="preserve"> </w:t>
      </w:r>
      <w:r>
        <w:t xml:space="preserve">Stock already ran hard; consensus only at the midpoint; memory costs step up in Q2 with the worst of the margin optics arriving now; H2 supply allocation unconfirmed; organic growth (~4%) still below the 5–7% through-cycle target; European/Middle East softness and mobile-compute cycle risk.</w:t>
      </w:r>
    </w:p>
    <w:p>
      <w:r>
        <w:pict>
          <v:rect style="width:0;height:1.5pt" o:hralign="center" o:hrstd="t" o:hr="t"/>
        </w:pict>
      </w:r>
    </w:p>
    <w:bookmarkEnd w:id="19"/>
    <w:bookmarkStart w:id="20" w:name="the-scorecard-for-tuesday"/>
    <w:p>
      <w:pPr>
        <w:pStyle w:val="Heading2"/>
      </w:pPr>
      <w:r>
        <w:t xml:space="preserve">The scorecard for Tuesday</w:t>
      </w:r>
    </w:p>
    <w:p>
      <w:pPr>
        <w:pStyle w:val="Compact"/>
        <w:numPr>
          <w:ilvl w:val="0"/>
          <w:numId w:val="1005"/>
        </w:numPr>
      </w:pPr>
      <w:r>
        <w:rPr>
          <w:b/>
          <w:bCs/>
        </w:rPr>
        <w:t xml:space="preserve">Did EPS beat ~$4.35 and land at/above the $4.50 high end?</w:t>
      </w:r>
    </w:p>
    <w:p>
      <w:pPr>
        <w:pStyle w:val="Compact"/>
        <w:numPr>
          <w:ilvl w:val="0"/>
          <w:numId w:val="1005"/>
        </w:numPr>
      </w:pPr>
      <w:r>
        <w:rPr>
          <w:b/>
          <w:bCs/>
        </w:rPr>
        <w:t xml:space="preserve">Did they raise FY26 EPS above</w:t>
      </w:r>
      <w:r>
        <w:rPr>
          <w:b/>
          <w:bCs/>
        </w:rPr>
        <w:t xml:space="preserve"> </w:t>
      </w:r>
      <m:oMath>
        <m:r>
          <m:t>18.30</m:t>
        </m:r>
        <m:r>
          <m:rPr>
            <m:sty m:val="p"/>
          </m:rPr>
          <m:t>–</m:t>
        </m:r>
      </m:oMath>
      <w:r>
        <w:rPr>
          <w:b/>
          <w:bCs/>
        </w:rPr>
        <w:t xml:space="preserve">18.70?</w:t>
      </w:r>
    </w:p>
    <w:p>
      <w:pPr>
        <w:pStyle w:val="Compact"/>
        <w:numPr>
          <w:ilvl w:val="0"/>
          <w:numId w:val="1005"/>
        </w:numPr>
      </w:pPr>
      <w:r>
        <w:rPr>
          <w:b/>
          <w:bCs/>
        </w:rPr>
        <w:t xml:space="preserve">Is memory still "fully mitigated," and what's the H2 margin/supply cadence?</w:t>
      </w:r>
    </w:p>
    <w:p>
      <w:pPr>
        <w:pStyle w:val="Compact"/>
        <w:numPr>
          <w:ilvl w:val="0"/>
          <w:numId w:val="1005"/>
        </w:numPr>
      </w:pPr>
      <w:r>
        <w:rPr>
          <w:b/>
          <w:bCs/>
        </w:rPr>
        <w:t xml:space="preserve">Organic growth ≥4–5% with continued manufacturing/machine vision strength?</w:t>
      </w:r>
    </w:p>
    <w:p>
      <w:pPr>
        <w:pStyle w:val="Compact"/>
        <w:numPr>
          <w:ilvl w:val="0"/>
          <w:numId w:val="1005"/>
        </w:numPr>
      </w:pPr>
      <w:r>
        <w:rPr>
          <w:b/>
          <w:bCs/>
        </w:rPr>
        <w:t xml:space="preserve">Buyback pace — did they keep spending near the full-FCF end?</w:t>
      </w:r>
    </w:p>
    <w:p>
      <w:pPr>
        <w:pStyle w:val="FirstParagraph"/>
      </w:pPr>
      <w:r>
        <w:t xml:space="preserve">Given the pre-print rally, the market's reaction likely hinges more on</w:t>
      </w:r>
      <w:r>
        <w:t xml:space="preserve"> </w:t>
      </w:r>
      <w:r>
        <w:rPr>
          <w:b/>
          <w:bCs/>
        </w:rPr>
        <w:t xml:space="preserve">the FY raise and the memory-mitigation commentary</w:t>
      </w:r>
      <w:r>
        <w:t xml:space="preserve"> </w:t>
      </w:r>
      <w:r>
        <w:t xml:space="preserve">than on the Q2 headline numbers themselves.</w:t>
      </w:r>
    </w:p>
    <w:p>
      <w:pPr>
        <w:pStyle w:val="BodyText"/>
      </w:pPr>
      <w:r>
        <w:rPr>
          <w:i/>
          <w:iCs/>
        </w:rPr>
        <w:t xml:space="preserve">Preview based on Zebra's Q1 2026 (period ended 4/4/26) and Q2 2025 results/guidance, plus current analyst and market data; all forward figures are management guidance or Street estimates, not results.</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2026-08-04T00:50:26Z</dcterms:created>
  <dcterms:modified xsi:type="dcterms:W3CDTF">2026-08-04T00:50:26Z</dcterms:modified>
</cp:coreProperties>
</file>

<file path=docProps/custom.xml><?xml version="1.0" encoding="utf-8"?>
<Properties xmlns="http://schemas.openxmlformats.org/officeDocument/2006/custom-properties" xmlns:vt="http://schemas.openxmlformats.org/officeDocument/2006/docPropsVTypes"/>
</file>