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sufficient material to write a comprehensive earnings preview.# Zebra Technologies (ZBRA) — Q2 2026 Earnings Preview</w:t>
      </w:r>
      <w:r>
        <w:t xml:space="preserve"> </w:t>
      </w:r>
      <w:r>
        <w:rPr>
          <w:b/>
          <w:bCs/>
        </w:rPr>
        <w:t xml:space="preserve">Report date:</w:t>
      </w:r>
      <w:r>
        <w:t xml:space="preserve"> </w:t>
      </w:r>
      <w:r>
        <w:t xml:space="preserve">Tuesday, August 4, 2026, before market open | Call at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ZBRA shares have had a strong run heading into this report, up roughly 17-18% year-to-date and trading near 52-week highs around $290-294 — including a notable 7.5% single-day pop on July 28 that a market-analysis note attributed largely to "growing optimism ahead of Zebra Technologies' second-quarter 2026 earnings report on August 4, combined with carryover confidence from its strong first-quarter results and higher full-year outlook," with no major new company-specific catalyst identified, suggesting some of the rally is simply positioning into earnings. Sell-side price targets have been marching higher all summer — Citi to $306, Wolfe Research to $317, Truist to $296, and Barclays to</w:t>
      </w:r>
      <w:r>
        <w:t xml:space="preserve"> </w:t>
      </w:r>
      <w:r>
        <w:t xml:space="preserve">$346 — and the stock carries a consensus "Moderate Buy"/"Buy" rating from the roughly 17-18 analysts covering it, with average price targets in the low-$</w:t>
      </w:r>
      <w:r>
        <w:t xml:space="preserve">330s.</w:t>
      </w:r>
    </w:p>
    <w:p>
      <w:pPr>
        <w:pStyle w:val="BodyText"/>
      </w:pPr>
      <w:r>
        <w:t xml:space="preserve">That said, expectations are now elevated, which raises the bar for what counts as a "good" quarter.</w:t>
      </w:r>
    </w:p>
    <w:bookmarkEnd w:id="9"/>
    <w:bookmarkStart w:id="10" w:name="X5bb76c4bf6986b56b820db446d7f304cb89b186"/>
    <w:p>
      <w:pPr>
        <w:pStyle w:val="Heading2"/>
      </w:pPr>
      <w:r>
        <w:t xml:space="preserve">What The Company Guided vs. What Wall Street Expects</w:t>
      </w:r>
    </w:p>
    <w:p>
      <w:pPr>
        <w:pStyle w:val="FirstParagraph"/>
      </w:pPr>
      <w:r>
        <w:t xml:space="preserve">At the Q1 print (May 12), management guided Q2 to sales growth of 14% to 17%, including approximately 10.5 points of contribution from business acquisitions and favorable FX, second quarter adjusted EBITDA margin slightly higher than 21%, and non-GAAP diluted EPS between $4.20 and $4.50. Consensus has settled essentially at the high end of that range: analysts are modeling</w:t>
      </w:r>
      <w:r>
        <w:t xml:space="preserve"> </w:t>
      </w:r>
      <w:r>
        <w:rPr>
          <w:b/>
          <w:bCs/>
        </w:rPr>
        <w:t xml:space="preserve">EPS around</w:t>
      </w:r>
      <w:r>
        <w:rPr>
          <w:b/>
          <w:bCs/>
        </w:rPr>
        <w:t xml:space="preserve"> </w:t>
      </w:r>
      <m:oMath>
        <m:r>
          <m:t>4.35</m:t>
        </m:r>
        <m:r>
          <m:rPr>
            <m:sty m:val="p"/>
          </m:rPr>
          <m:t>−</m:t>
        </m:r>
      </m:oMath>
      <w:r>
        <w:rPr>
          <w:b/>
          <w:bCs/>
        </w:rPr>
        <w:t xml:space="preserve">4.37</w:t>
      </w:r>
      <w:r>
        <w:t xml:space="preserve"> </w:t>
      </w:r>
      <w:r>
        <w:t xml:space="preserve">on</w:t>
      </w:r>
      <w:r>
        <w:t xml:space="preserve"> </w:t>
      </w:r>
      <w:r>
        <w:rPr>
          <w:b/>
          <w:bCs/>
        </w:rPr>
        <w:t xml:space="preserve">revenue near $1.50 billion</w:t>
      </w:r>
      <w:r>
        <w:t xml:space="preserve"> </w:t>
      </w:r>
      <w:r>
        <w:t xml:space="preserve">(roughly 16-21% reported growth), which would represent a</w:t>
      </w:r>
      <w:r>
        <w:t xml:space="preserve"> </w:t>
      </w:r>
      <w:r>
        <w:rPr>
          <w:b/>
          <w:bCs/>
        </w:rPr>
        <w:t xml:space="preserve">sequential step-down from Q1's $4.75</w:t>
      </w:r>
      <w:r>
        <w:t xml:space="preserve"> </w:t>
      </w:r>
      <w:r>
        <w:t xml:space="preserve">— a deceleration management flagged itself, driven mainly by rising memory costs. Zebra has beaten Street EPS estimates in three of its last four quarters, and beat handily (+12-13%) last quarter, so there's a credible track record of upside, but the bar is arguably higher this time given how much the stock has already re-rated.</w:t>
      </w:r>
    </w:p>
    <w:p>
      <w:pPr>
        <w:pStyle w:val="BodyText"/>
      </w:pPr>
      <w:r>
        <w:t xml:space="preserve">For the full year, the current guide (raised at Q1) calls for full-year sales growth outlook to a 10% to 14% range... and now targets an adjusted EBITDA margin of about 22%. Non-GAAP EPS guidance was lifted to a range of $18.30 to $18.70, with free cash flow projected to reach at least $900 million for the year, representing a 100% conversion rate and supporting continued opportunistic share repurchases.</w:t>
      </w:r>
    </w:p>
    <w:bookmarkEnd w:id="10"/>
    <w:bookmarkStart w:id="11" w:name="q1-recap-a-strong-base-quarter"/>
    <w:p>
      <w:pPr>
        <w:pStyle w:val="Heading2"/>
      </w:pPr>
      <w:r>
        <w:t xml:space="preserve">Q1 Recap: A Strong Base Quarter</w:t>
      </w:r>
    </w:p>
    <w:p>
      <w:pPr>
        <w:pStyle w:val="FirstParagraph"/>
      </w:pPr>
      <w:r>
        <w:t xml:space="preserve">Zebra's first quarter was clean and broad-based: Zebra reported nearly $1.5 billion in Q1 sales, representing 14.3% year-over-year growth on a reported basis and 4.3% growth organically in constant currency. The Connected Frontline segment grew 20.6%, aided by the Elo acquisition, while still posting 3.8% organic growth, and Asset Visibility &amp; Automation rose 4.8%. Regionally, Asia Pacific led with 11% growth, followed by Latin America at 10%, North America at 4%, and EMEA at 2%. Gross margin hit a multi-year high (50.4%, +80bps), and manufacturing customers were a key driver, with their robust spending helping lift both overall sales and gross margins as automation projects continued to gain traction. The stock jumped over 11% on the print.</w:t>
      </w:r>
    </w:p>
    <w:bookmarkEnd w:id="11"/>
    <w:bookmarkStart w:id="12" w:name="Xafd3340b044cab14ff3113b4864a3b7060b9923"/>
    <w:p>
      <w:pPr>
        <w:pStyle w:val="Heading2"/>
      </w:pPr>
      <w:r>
        <w:t xml:space="preserve">The Central Debate Going Into Q2: Memory/DRAM Costs</w:t>
      </w:r>
    </w:p>
    <w:p>
      <w:pPr>
        <w:pStyle w:val="FirstParagraph"/>
      </w:pPr>
      <w:r>
        <w:t xml:space="preserve">This is the single biggest swing factor for the quarter and the stock's reaction. On the Q1 call, CFO Nathan Winters explained the sequential margin step-down was Q1 to Q2... driven by the higher memory costs in the quarter as well as just normalized deal mix, and that management had expects to fully mitigate a 2-point margin headwind from memory costs through targeted price increases and direct supplier co-planning, with the CFO noting memory supply remains a primary risk; management is transitioning to higher-density components where capacity is expected to increase through 2027.</w:t>
      </w:r>
    </w:p>
    <w:p>
      <w:pPr>
        <w:pStyle w:val="BodyText"/>
      </w:pPr>
      <w:r>
        <w:t xml:space="preserve">The problem: since that call in May, the broader DRAM/NAND pricing backdrop has gotten materially worse. Industry trackers now show conventional DRAM contract prices to rise 13% to 18% quarter-over-quarter (QoQ) in Q3 2026... a marked slowdown from the roughly 60% jumps recorded in the second quarter, and multiple memory suppliers (SK Hynix, Intel, Micron) have publicly warned the shortage could persist for years, driven by AI hyperscaler demand for HBM crowding out conventional DRAM supply. Zebra is a direct, if modest, purchaser of conventional memory for its mobile computers and other devices, and management said on the Q1 call that its "business environment has changed drastically... In terms of profits, we are facing headwinds"-type dynamics (a sentiment echoed broadly across hardware peers) is exactly what's being tested now.</w:t>
      </w:r>
    </w:p>
    <w:p>
      <w:pPr>
        <w:pStyle w:val="BodyText"/>
      </w:pPr>
      <w:r>
        <w:rPr>
          <w:b/>
          <w:bCs/>
        </w:rPr>
        <w:t xml:space="preserve">Key questions for the call:</w:t>
      </w:r>
    </w:p>
    <w:p>
      <w:pPr>
        <w:pStyle w:val="Compact"/>
        <w:numPr>
          <w:ilvl w:val="0"/>
          <w:numId w:val="1001"/>
        </w:numPr>
      </w:pPr>
      <w:r>
        <w:t xml:space="preserve">Did the ~60% Q2 DRAM cost surge exceed what Zebra had already baked into its guidance, or is the company still tracking to "in line with prior guidance" as claimed in May?</w:t>
      </w:r>
    </w:p>
    <w:p>
      <w:pPr>
        <w:pStyle w:val="Compact"/>
        <w:numPr>
          <w:ilvl w:val="0"/>
          <w:numId w:val="1001"/>
        </w:numPr>
      </w:pPr>
      <w:r>
        <w:t xml:space="preserve">Is the 2-point full-year memory margin headwind still fully offset by pricing/productivity, or is there any risk to the ~22% EBITDA margin target?</w:t>
      </w:r>
    </w:p>
    <w:p>
      <w:pPr>
        <w:pStyle w:val="Compact"/>
        <w:numPr>
          <w:ilvl w:val="0"/>
          <w:numId w:val="1001"/>
        </w:numPr>
      </w:pPr>
      <w:r>
        <w:t xml:space="preserve">Any changes to memory</w:t>
      </w:r>
      <w:r>
        <w:t xml:space="preserve"> </w:t>
      </w:r>
      <w:r>
        <w:rPr>
          <w:i/>
          <w:iCs/>
        </w:rPr>
        <w:t xml:space="preserve">supply</w:t>
      </w:r>
      <w:r>
        <w:t xml:space="preserve"> </w:t>
      </w:r>
      <w:r>
        <w:t xml:space="preserve">(not just price) — Winters noted in Q1 that our second half guide assumes a similar memory supply as received in the first half... We've received no indication that our second half allocation would be any less than the first half. Investors will want reassurance that assumption still holds.</w:t>
      </w:r>
    </w:p>
    <w:bookmarkEnd w:id="12"/>
    <w:bookmarkStart w:id="13" w:name="growth-drivers-to-watch"/>
    <w:p>
      <w:pPr>
        <w:pStyle w:val="Heading2"/>
      </w:pPr>
      <w:r>
        <w:t xml:space="preserve">Growth Drivers to Watch</w:t>
      </w:r>
    </w:p>
    <w:p>
      <w:pPr>
        <w:pStyle w:val="Compact"/>
        <w:numPr>
          <w:ilvl w:val="0"/>
          <w:numId w:val="1002"/>
        </w:numPr>
      </w:pPr>
      <w:r>
        <w:rPr>
          <w:b/>
          <w:bCs/>
        </w:rPr>
        <w:t xml:space="preserve">Machine vision inflection:</w:t>
      </w:r>
      <w:r>
        <w:t xml:space="preserve"> </w:t>
      </w:r>
      <w:r>
        <w:t xml:space="preserve">Q1 saw double-digit growth, which management called a long-awaited inflection point, aided by the Photoneo acquisition and new products like the CV70 CXP camera unveiled at Automate 2026 in June.</w:t>
      </w:r>
    </w:p>
    <w:p>
      <w:pPr>
        <w:pStyle w:val="Compact"/>
        <w:numPr>
          <w:ilvl w:val="0"/>
          <w:numId w:val="1002"/>
        </w:numPr>
      </w:pPr>
      <w:r>
        <w:rPr>
          <w:b/>
          <w:bCs/>
        </w:rPr>
        <w:t xml:space="preserve">RFID expansion beyond retail apparel:</w:t>
      </w:r>
      <w:r>
        <w:t xml:space="preserve"> </w:t>
      </w:r>
      <w:r>
        <w:t xml:space="preserve">Management highlighted new use cases in fresh foods/grocery, parcel tracking in logistics, and healthcare as multi-year tailwinds, even though RFID had a tough compare in Q1.</w:t>
      </w:r>
    </w:p>
    <w:p>
      <w:pPr>
        <w:pStyle w:val="Compact"/>
        <w:numPr>
          <w:ilvl w:val="0"/>
          <w:numId w:val="1002"/>
        </w:numPr>
      </w:pPr>
      <w:r>
        <w:rPr>
          <w:b/>
          <w:bCs/>
        </w:rPr>
        <w:t xml:space="preserve">Elo Touch integration:</w:t>
      </w:r>
      <w:r>
        <w:t xml:space="preserve"> </w:t>
      </w:r>
      <w:r>
        <w:t xml:space="preserve">The touchscreen/POS acquisition is tracking to management's expectation of mid-single-digit 2026 growth, with early revenue/cost synergies and new-geography wins (e.g., India) cited as encouraging.</w:t>
      </w:r>
    </w:p>
    <w:p>
      <w:pPr>
        <w:pStyle w:val="Compact"/>
        <w:numPr>
          <w:ilvl w:val="0"/>
          <w:numId w:val="1002"/>
        </w:numPr>
      </w:pPr>
      <w:r>
        <w:rPr>
          <w:b/>
          <w:bCs/>
        </w:rPr>
        <w:t xml:space="preserve">AI/software monetization:</w:t>
      </w:r>
      <w:r>
        <w:t xml:space="preserve"> </w:t>
      </w:r>
      <w:r>
        <w:t xml:space="preserve">Zebra continues pushing its "Frontline AI Suite" (enablers, blueprints, companions) and unveiled new platforms (Zebra Nucleus, Workcloud Business Intelligence) at its ZONE 2026 customer conference — a longer-duration software/services growth story layered on top of the hardware base.</w:t>
      </w:r>
    </w:p>
    <w:p>
      <w:pPr>
        <w:pStyle w:val="Compact"/>
        <w:numPr>
          <w:ilvl w:val="0"/>
          <w:numId w:val="1002"/>
        </w:numPr>
      </w:pPr>
      <w:r>
        <w:rPr>
          <w:b/>
          <w:bCs/>
        </w:rPr>
        <w:t xml:space="preserve">Transportation &amp; logistics refresh cycle:</w:t>
      </w:r>
      <w:r>
        <w:t xml:space="preserve"> </w:t>
      </w:r>
      <w:r>
        <w:t xml:space="preserve">Management has been consistent that the</w:t>
      </w:r>
      <w:r>
        <w:t xml:space="preserve"> </w:t>
      </w:r>
      <w:r>
        <w:rPr>
          <w:i/>
          <w:iCs/>
        </w:rPr>
        <w:t xml:space="preserve">large</w:t>
      </w:r>
      <w:r>
        <w:t xml:space="preserve"> </w:t>
      </w:r>
      <w:r>
        <w:t xml:space="preserve">T&amp;L device refresh wave is a 2027 story, not a 2026 one — so don't expect a big pull-forward here, but watch for any commentary on pipeline build.</w:t>
      </w:r>
    </w:p>
    <w:bookmarkEnd w:id="13"/>
    <w:bookmarkStart w:id="14" w:name="competitivestructural-watch-items"/>
    <w:p>
      <w:pPr>
        <w:pStyle w:val="Heading2"/>
      </w:pPr>
      <w:r>
        <w:t xml:space="preserve">Competitive/Structural Watch Items</w:t>
      </w:r>
    </w:p>
    <w:p>
      <w:pPr>
        <w:pStyle w:val="Compact"/>
        <w:numPr>
          <w:ilvl w:val="0"/>
          <w:numId w:val="1003"/>
        </w:numPr>
      </w:pPr>
      <w:r>
        <w:rPr>
          <w:b/>
          <w:bCs/>
        </w:rPr>
        <w:t xml:space="preserve">Brady–Honeywell PSS deal:</w:t>
      </w:r>
      <w:r>
        <w:t xml:space="preserve"> </w:t>
      </w:r>
      <w:r>
        <w:t xml:space="preserve">Brady Corporation agreed in April 2026 to acquire Honeywell's Productivity Solutions and Services ("PSS") business, a provider of mobile computers, barcode scanners and printing solutions, in an all-cash transaction for $1.4 billion, creating a more scaled direct competitor in mobile computing/scanning. On the Q1 call, Zebra's CFO said the project funnel remains strong... no change overall in terms of the overall pipeline relative to the recently announced transaction, but analysts will likely probe again for any early competitive/pricing impact.</w:t>
      </w:r>
    </w:p>
    <w:p>
      <w:pPr>
        <w:pStyle w:val="Compact"/>
        <w:numPr>
          <w:ilvl w:val="0"/>
          <w:numId w:val="1003"/>
        </w:numPr>
      </w:pPr>
      <w:r>
        <w:rPr>
          <w:b/>
          <w:bCs/>
        </w:rPr>
        <w:t xml:space="preserve">Tariffs:</w:t>
      </w:r>
      <w:r>
        <w:t xml:space="preserve"> </w:t>
      </w:r>
      <w:r>
        <w:t xml:space="preserve">The Supreme Court invalidated the 2025 IEEPA tariffs in February 2026; Zebra previously paid ~$75 million under that regime and is pursuing refunds not yet recognized in its financials. Section 122/301/232 tariff mechanics remain fluid and management has said it doesn't expect a material full-year P&amp;L impact, but this is a modest incremental watch item.</w:t>
      </w:r>
    </w:p>
    <w:p>
      <w:pPr>
        <w:pStyle w:val="Compact"/>
        <w:numPr>
          <w:ilvl w:val="0"/>
          <w:numId w:val="1003"/>
        </w:numPr>
      </w:pPr>
      <w:r>
        <w:rPr>
          <w:b/>
          <w:bCs/>
        </w:rPr>
        <w:t xml:space="preserve">Capital allocation:</w:t>
      </w:r>
      <w:r>
        <w:t xml:space="preserve"> </w:t>
      </w:r>
      <w:r>
        <w:t xml:space="preserve">Zebra has been aggressive — already well above its prior 50%-of-free-cash-flow buyback commitment, having repurchased $300 million in Q1 and an additional $200 million quarter-to-date by early May, with leverage still modest (~2.1x). Watch for confirmation of continued buyback pace and any commentary on M&amp;A appetite.</w:t>
      </w:r>
    </w:p>
    <w:bookmarkEnd w:id="14"/>
    <w:bookmarkStart w:id="15" w:name="bottom-line-for-investors"/>
    <w:p>
      <w:pPr>
        <w:pStyle w:val="Heading2"/>
      </w:pPr>
      <w:r>
        <w:t xml:space="preserve">Bottom Line for Investors</w:t>
      </w:r>
    </w:p>
    <w:p>
      <w:pPr>
        <w:pStyle w:val="FirstParagraph"/>
      </w:pPr>
      <w:r>
        <w:t xml:space="preserve">Zebra goes into this print with real momentum — raised guidance, record gross margins, broad-based organic growth, and a stock that's already up sharply and richly re-rated by the sell-side. The setup is a "high-quality problem": consensus numbers (</w:t>
      </w:r>
      <m:oMath>
        <m:r>
          <m:t>4.35</m:t>
        </m:r>
        <m:r>
          <m:rPr>
            <m:sty m:val="p"/>
          </m:rPr>
          <m:t>−</m:t>
        </m:r>
      </m:oMath>
      <w:r>
        <w:t xml:space="preserve">4.37 EPS, ~$1.50B revenue) sit near the top of management's own guidance range, meaning an in-line quarter may not be enough to extend the rally, while any signal that the memory/DRAM cost spiral is outrunning the company's mitigation plan (price increases + restructuring savings + volume leverage) is probably the single biggest risk to the margin/EPS trajectory and, by extension, to a stock that has priced in a lot of good news already. Watch the</w:t>
      </w:r>
      <w:r>
        <w:t xml:space="preserve"> </w:t>
      </w:r>
      <w:r>
        <w:rPr>
          <w:b/>
          <w:bCs/>
        </w:rPr>
        <w:t xml:space="preserve">Q2 EBITDA margin print relative to "slightly higher than 21%,"</w:t>
      </w:r>
      <w:r>
        <w:t xml:space="preserve"> </w:t>
      </w:r>
      <w:r>
        <w:t xml:space="preserve">any</w:t>
      </w:r>
      <w:r>
        <w:t xml:space="preserve"> </w:t>
      </w:r>
      <w:r>
        <w:rPr>
          <w:b/>
          <w:bCs/>
        </w:rPr>
        <w:t xml:space="preserve">change to full-year guidance</w:t>
      </w:r>
      <w:r>
        <w:t xml:space="preserve">, and management's</w:t>
      </w:r>
      <w:r>
        <w:t xml:space="preserve"> </w:t>
      </w:r>
      <w:r>
        <w:rPr>
          <w:b/>
          <w:bCs/>
        </w:rPr>
        <w:t xml:space="preserve">tone on second-half memory cost/supply visibility</w:t>
      </w:r>
      <w:r>
        <w:t xml:space="preserve"> </w:t>
      </w:r>
      <w:r>
        <w:t xml:space="preserve">as the key tells.</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2026-08-04T00:50:48Z</dcterms:created>
  <dcterms:modified xsi:type="dcterms:W3CDTF">2026-08-04T00:50:48Z</dcterms:modified>
</cp:coreProperties>
</file>

<file path=docProps/custom.xml><?xml version="1.0" encoding="utf-8"?>
<Properties xmlns="http://schemas.openxmlformats.org/officeDocument/2006/custom-properties" xmlns:vt="http://schemas.openxmlformats.org/officeDocument/2006/docPropsVTypes"/>
</file>