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zbra-2026q2-earnings-preview"/>
    <w:p>
      <w:pPr>
        <w:pStyle w:val="Heading1"/>
      </w:pPr>
      <w:r>
        <w:t xml:space="preserve">ZBRA 2026Q2 Earnings Preview</w:t>
      </w:r>
    </w:p>
    <w:p>
      <w:pPr>
        <w:pStyle w:val="BlockText"/>
      </w:pPr>
      <w:r>
        <w:rPr>
          <w:b/>
          <w:bCs/>
        </w:rPr>
        <w:t xml:space="preserve">Timing clarification:</w:t>
      </w:r>
      <w:r>
        <w:t xml:space="preserve"> </w:t>
      </w:r>
      <w:r>
        <w:t xml:space="preserve">Zebra Technologies is scheduled to report</w:t>
      </w:r>
      <w:r>
        <w:t xml:space="preserve"> </w:t>
      </w:r>
      <w:r>
        <w:rPr>
          <w:b/>
          <w:bCs/>
        </w:rPr>
        <w:t xml:space="preserve">Tuesday morning, August 4, 2026</w:t>
      </w:r>
      <w:r>
        <w:t xml:space="preserve">, with its conference call at</w:t>
      </w:r>
      <w:r>
        <w:t xml:space="preserve"> </w:t>
      </w:r>
      <w:r>
        <w:rPr>
          <w:b/>
          <w:bCs/>
        </w:rPr>
        <w:t xml:space="preserve">8:30 a.m. ET</w:t>
      </w:r>
      <w:r>
        <w:t xml:space="preserve">. That is</w:t>
      </w:r>
      <w:r>
        <w:t xml:space="preserve"> </w:t>
      </w:r>
      <w:r>
        <w:rPr>
          <w:b/>
          <w:bCs/>
        </w:rPr>
        <w:t xml:space="preserve">today</w:t>
      </w:r>
      <w:r>
        <w:t xml:space="preserve">, not tomorrow. As of the latest documents available for this preview, the Q2 release had not yet been posted.</w:t>
      </w:r>
    </w:p>
    <w:bookmarkStart w:id="9" w:name="investment-setup"/>
    <w:p>
      <w:pPr>
        <w:pStyle w:val="Heading2"/>
      </w:pPr>
      <w:r>
        <w:t xml:space="preserve">Investment setup</w:t>
      </w:r>
    </w:p>
    <w:p>
      <w:pPr>
        <w:pStyle w:val="FirstParagraph"/>
      </w:pPr>
      <w:r>
        <w:t xml:space="preserve">Zebra enters Q2 with considerably more optimism—and a higher bar—than it faced three months ago.</w:t>
      </w:r>
    </w:p>
    <w:p>
      <w:pPr>
        <w:pStyle w:val="BodyText"/>
      </w:pPr>
      <w:r>
        <w:t xml:space="preserve">The company beat its Q1 outlook, raised its 2026 guidance, reported broad-based organic growth, and expressed greater confidence in its ability to absorb sharply higher memory costs. Investors rewarded that performance: ZBRA closed at</w:t>
      </w:r>
      <w:r>
        <w:t xml:space="preserve"> </w:t>
      </w:r>
      <w:r>
        <w:rPr>
          <w:b/>
          <w:bCs/>
        </w:rPr>
        <w:t xml:space="preserve">$291.68 on August 3</w:t>
      </w:r>
      <w:r>
        <w:t xml:space="preserve">, up roughly</w:t>
      </w:r>
      <w:r>
        <w:t xml:space="preserve"> </w:t>
      </w:r>
      <w:r>
        <w:rPr>
          <w:b/>
          <w:bCs/>
        </w:rPr>
        <w:t xml:space="preserve">34% since the day before its Q1 report</w:t>
      </w:r>
      <w:r>
        <w:t xml:space="preserve"> </w:t>
      </w:r>
      <w:r>
        <w:t xml:space="preserve">and approximately</w:t>
      </w:r>
      <w:r>
        <w:t xml:space="preserve"> </w:t>
      </w:r>
      <w:r>
        <w:rPr>
          <w:b/>
          <w:bCs/>
        </w:rPr>
        <w:t xml:space="preserve">17% year to date</w:t>
      </w:r>
      <w:r>
        <w:t xml:space="preserve">. The S&amp;P 500 gained only about 2.5% over the period since the last report.</w:t>
      </w:r>
    </w:p>
    <w:p>
      <w:pPr>
        <w:pStyle w:val="BodyText"/>
      </w:pPr>
      <w:r>
        <w:t xml:space="preserve">That appreciation changes the earnings setup. A quarter merely within guidance may no longer be enough. The most important questions are whether Zebra can:</w:t>
      </w:r>
    </w:p>
    <w:p>
      <w:pPr>
        <w:pStyle w:val="Compact"/>
        <w:numPr>
          <w:ilvl w:val="0"/>
          <w:numId w:val="1001"/>
        </w:numPr>
      </w:pPr>
      <w:r>
        <w:t xml:space="preserve">Deliver organic growth toward the upper half of its range.</w:t>
      </w:r>
    </w:p>
    <w:p>
      <w:pPr>
        <w:pStyle w:val="Compact"/>
        <w:numPr>
          <w:ilvl w:val="0"/>
          <w:numId w:val="1001"/>
        </w:numPr>
      </w:pPr>
      <w:r>
        <w:t xml:space="preserve">Preserve margins despite memory inflation.</w:t>
      </w:r>
    </w:p>
    <w:p>
      <w:pPr>
        <w:pStyle w:val="Compact"/>
        <w:numPr>
          <w:ilvl w:val="0"/>
          <w:numId w:val="1001"/>
        </w:numPr>
      </w:pPr>
      <w:r>
        <w:t xml:space="preserve">Maintain or raise its full-year outlook.</w:t>
      </w:r>
    </w:p>
    <w:p>
      <w:pPr>
        <w:pStyle w:val="Compact"/>
        <w:numPr>
          <w:ilvl w:val="0"/>
          <w:numId w:val="1001"/>
        </w:numPr>
      </w:pPr>
      <w:r>
        <w:t xml:space="preserve">Demonstrate that recent strength is durable rather than acquisition-, pricing-, or mix-driven.</w:t>
      </w:r>
    </w:p>
    <w:bookmarkEnd w:id="9"/>
    <w:bookmarkStart w:id="10" w:name="q2-benchmarks"/>
    <w:p>
      <w:pPr>
        <w:pStyle w:val="Heading2"/>
      </w:pPr>
      <w:r>
        <w:t xml:space="preserve">Q2 benchmarks</w:t>
      </w:r>
    </w:p>
    <w:p>
      <w:pPr>
        <w:pStyle w:val="FirstParagraph"/>
      </w:pPr>
      <w:r>
        <w:t xml:space="preserve">The cleanest benchmarks are management’s May guidance: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company outlook</w:t>
            </w:r>
          </w:p>
        </w:tc>
        <w:tc>
          <w:tcPr/>
          <w:p>
            <w:pPr>
              <w:pStyle w:val="Compact"/>
              <w:jc w:val="right"/>
            </w:pPr>
            <w:r>
              <w:t xml:space="preserve">Implied midpoint / comparison</w:t>
            </w:r>
          </w:p>
        </w:tc>
      </w:tr>
      <w:tr>
        <w:tc>
          <w:tcPr/>
          <w:p>
            <w:pPr>
              <w:pStyle w:val="Compact"/>
            </w:pPr>
            <w:r>
              <w:t xml:space="preserve">Reported sales growth</w:t>
            </w:r>
          </w:p>
        </w:tc>
        <w:tc>
          <w:tcPr/>
          <w:p>
            <w:pPr>
              <w:pStyle w:val="Compact"/>
              <w:jc w:val="right"/>
            </w:pPr>
            <w:r>
              <w:rPr>
                <w:b/>
                <w:bCs/>
              </w:rPr>
              <w:t xml:space="preserve">14%–17%</w:t>
            </w:r>
          </w:p>
        </w:tc>
        <w:tc>
          <w:tcPr/>
          <w:p>
            <w:pPr>
              <w:pStyle w:val="Compact"/>
              <w:jc w:val="right"/>
            </w:pPr>
            <w:r>
              <w:t xml:space="preserve">15.5%</w:t>
            </w:r>
          </w:p>
        </w:tc>
      </w:tr>
      <w:tr>
        <w:tc>
          <w:tcPr/>
          <w:p>
            <w:pPr>
              <w:pStyle w:val="Compact"/>
            </w:pPr>
            <w:r>
              <w:t xml:space="preserve">Implied revenue</w:t>
            </w:r>
          </w:p>
        </w:tc>
        <w:tc>
          <w:tcPr/>
          <w:p>
            <w:pPr>
              <w:pStyle w:val="Compact"/>
              <w:jc w:val="right"/>
            </w:pPr>
            <m:oMath>
              <m:r>
                <m:t>1.474</m:t>
              </m:r>
              <m:r>
                <m:t>B</m:t>
              </m:r>
              <m:r>
                <m:rPr>
                  <m:sty m:val="p"/>
                </m:rPr>
                <m:t>–</m:t>
              </m:r>
            </m:oMath>
            <w:r>
              <w:rPr>
                <w:b/>
                <w:bCs/>
              </w:rPr>
              <w:t xml:space="preserve">1.513B</w:t>
            </w:r>
          </w:p>
        </w:tc>
        <w:tc>
          <w:tcPr/>
          <w:p>
            <w:pPr>
              <w:pStyle w:val="Compact"/>
              <w:jc w:val="right"/>
            </w:pPr>
            <w:r>
              <w:t xml:space="preserve">Approximately $1.493B</w:t>
            </w:r>
          </w:p>
        </w:tc>
      </w:tr>
      <w:tr>
        <w:tc>
          <w:tcPr/>
          <w:p>
            <w:pPr>
              <w:pStyle w:val="Compact"/>
            </w:pPr>
            <w:r>
              <w:t xml:space="preserve">Acquisition and FX contribution</w:t>
            </w:r>
          </w:p>
        </w:tc>
        <w:tc>
          <w:tcPr/>
          <w:p>
            <w:pPr>
              <w:pStyle w:val="Compact"/>
              <w:jc w:val="right"/>
            </w:pPr>
            <w:r>
              <w:t xml:space="preserve">Approximately</w:t>
            </w:r>
            <w:r>
              <w:t xml:space="preserve"> </w:t>
            </w:r>
            <w:r>
              <w:rPr>
                <w:b/>
                <w:bCs/>
              </w:rPr>
              <w:t xml:space="preserve">10.5 points</w:t>
            </w:r>
          </w:p>
        </w:tc>
        <w:tc>
          <w:tcPr/>
          <w:p>
            <w:pPr>
              <w:pStyle w:val="Compact"/>
              <w:jc w:val="right"/>
            </w:pPr>
            <w:r>
              <w:t xml:space="preserve">Implies roughly 3.5%–6.5% underlying growth</w:t>
            </w:r>
          </w:p>
        </w:tc>
      </w:tr>
      <w:tr>
        <w:tc>
          <w:tcPr/>
          <w:p>
            <w:pPr>
              <w:pStyle w:val="Compact"/>
            </w:pPr>
            <w:r>
              <w:t xml:space="preserve">Adjusted EBITDA margin</w:t>
            </w:r>
          </w:p>
        </w:tc>
        <w:tc>
          <w:tcPr/>
          <w:p>
            <w:pPr>
              <w:pStyle w:val="Compact"/>
              <w:jc w:val="right"/>
            </w:pPr>
            <w:r>
              <w:rPr>
                <w:b/>
                <w:bCs/>
              </w:rPr>
              <w:t xml:space="preserve">Slightly above 21%</w:t>
            </w:r>
          </w:p>
        </w:tc>
        <w:tc>
          <w:tcPr/>
          <w:p>
            <w:pPr>
              <w:pStyle w:val="Compact"/>
              <w:jc w:val="right"/>
            </w:pPr>
            <w:r>
              <w:t xml:space="preserve">Approximately $314M of EBITDA at the revenue midpoint</w:t>
            </w:r>
          </w:p>
        </w:tc>
      </w:tr>
      <w:tr>
        <w:tc>
          <w:tcPr/>
          <w:p>
            <w:pPr>
              <w:pStyle w:val="Compact"/>
            </w:pPr>
            <w:r>
              <w:t xml:space="preserve">Non-GAAP diluted EPS</w:t>
            </w:r>
          </w:p>
        </w:tc>
        <w:tc>
          <w:tcPr/>
          <w:p>
            <w:pPr>
              <w:pStyle w:val="Compact"/>
              <w:jc w:val="right"/>
            </w:pPr>
            <m:oMath>
              <m:r>
                <m:t>4.20</m:t>
              </m:r>
              <m:r>
                <m:rPr>
                  <m:sty m:val="p"/>
                </m:rPr>
                <m:t>–</m:t>
              </m:r>
            </m:oMath>
            <w:r>
              <w:rPr>
                <w:b/>
                <w:bCs/>
              </w:rPr>
              <w:t xml:space="preserve">4.50</w:t>
            </w:r>
          </w:p>
        </w:tc>
        <w:tc>
          <w:tcPr/>
          <w:p>
            <w:pPr>
              <w:pStyle w:val="Compact"/>
              <w:jc w:val="right"/>
            </w:pPr>
            <w:r>
              <w:t xml:space="preserve">$4.35</w:t>
            </w:r>
          </w:p>
        </w:tc>
      </w:tr>
      <w:tr>
        <w:tc>
          <w:tcPr/>
          <w:p>
            <w:pPr>
              <w:pStyle w:val="Compact"/>
            </w:pPr>
            <w:r>
              <w:t xml:space="preserve">Prior-year non-GAAP EPS</w:t>
            </w:r>
          </w:p>
        </w:tc>
        <w:tc>
          <w:tcPr/>
          <w:p>
            <w:pPr>
              <w:pStyle w:val="Compact"/>
              <w:jc w:val="right"/>
            </w:pPr>
            <w:r>
              <w:t xml:space="preserve">$3.61</w:t>
            </w:r>
          </w:p>
        </w:tc>
        <w:tc>
          <w:tcPr/>
          <w:p>
            <w:pPr>
              <w:pStyle w:val="Compact"/>
              <w:jc w:val="right"/>
            </w:pPr>
            <w:r>
              <w:t xml:space="preserve">Midpoint implies approximately 20% growth</w:t>
            </w:r>
          </w:p>
        </w:tc>
      </w:tr>
    </w:tbl>
    <w:p>
      <w:pPr>
        <w:pStyle w:val="BodyText"/>
      </w:pPr>
      <w:r>
        <w:t xml:space="preserve">Management’s full-year outlook currently calls for:</w:t>
      </w:r>
    </w:p>
    <w:p>
      <w:pPr>
        <w:pStyle w:val="Compact"/>
        <w:numPr>
          <w:ilvl w:val="0"/>
          <w:numId w:val="1002"/>
        </w:numPr>
      </w:pPr>
      <w:r>
        <w:rPr>
          <w:b/>
          <w:bCs/>
        </w:rPr>
        <w:t xml:space="preserve">Sales growth of 10%–14%</w:t>
      </w:r>
      <w:r>
        <w:t xml:space="preserve">, including approximately seven points from acquisitions and currency.</w:t>
      </w:r>
    </w:p>
    <w:p>
      <w:pPr>
        <w:pStyle w:val="Compact"/>
        <w:numPr>
          <w:ilvl w:val="0"/>
          <w:numId w:val="1002"/>
        </w:numPr>
      </w:pPr>
      <w:r>
        <w:rPr>
          <w:b/>
          <w:bCs/>
        </w:rPr>
        <w:t xml:space="preserve">Adjusted EBITDA margin of approximately 22%.</w:t>
      </w:r>
    </w:p>
    <w:p>
      <w:pPr>
        <w:pStyle w:val="Compact"/>
        <w:numPr>
          <w:ilvl w:val="0"/>
          <w:numId w:val="1002"/>
        </w:numPr>
      </w:pPr>
      <w:r>
        <w:rPr>
          <w:b/>
          <w:bCs/>
        </w:rPr>
        <w:t xml:space="preserve">Non-GAAP EPS of</w:t>
      </w:r>
      <w:r>
        <w:rPr>
          <w:b/>
          <w:bCs/>
        </w:rPr>
        <w:t xml:space="preserve"> </w:t>
      </w:r>
      <m:oMath>
        <m:r>
          <m:t>18.30</m:t>
        </m:r>
        <m:r>
          <m:rPr>
            <m:sty m:val="p"/>
          </m:rPr>
          <m:t>–</m:t>
        </m:r>
      </m:oMath>
      <w:r>
        <w:rPr>
          <w:b/>
          <w:bCs/>
        </w:rPr>
        <w:t xml:space="preserve">18.70.</w:t>
      </w:r>
    </w:p>
    <w:p>
      <w:pPr>
        <w:pStyle w:val="Compact"/>
        <w:numPr>
          <w:ilvl w:val="0"/>
          <w:numId w:val="1002"/>
        </w:numPr>
      </w:pPr>
      <w:r>
        <w:rPr>
          <w:b/>
          <w:bCs/>
        </w:rPr>
        <w:t xml:space="preserve">Free cash flow of at least $900 million.</w:t>
      </w:r>
    </w:p>
    <w:p>
      <w:pPr>
        <w:pStyle w:val="FirstParagraph"/>
      </w:pPr>
      <w:r>
        <w:t xml:space="preserve">The sales and EPS ranges were raised after Q1. At the midpoint, full-year revenue would be about</w:t>
      </w:r>
      <w:r>
        <w:t xml:space="preserve"> </w:t>
      </w:r>
      <m:oMath>
        <m:r>
          <m:t>6.04</m:t>
        </m:r>
        <m:r>
          <m:t>b</m:t>
        </m:r>
        <m:r>
          <m:t>i</m:t>
        </m:r>
        <m:r>
          <m:t>l</m:t>
        </m:r>
        <m:r>
          <m:t>l</m:t>
        </m:r>
        <m:r>
          <m:t>i</m:t>
        </m:r>
        <m:r>
          <m:t>o</m:t>
        </m:r>
        <m:r>
          <m:t>n</m:t>
        </m:r>
        <m:r>
          <m:rPr>
            <m:sty m:val="p"/>
          </m:rPr>
          <m:t>*</m:t>
        </m:r>
        <m:r>
          <m:rPr>
            <m:sty m:val="p"/>
          </m:rPr>
          <m:t>*</m:t>
        </m:r>
        <m:r>
          <m:t>a</m:t>
        </m:r>
        <m:r>
          <m:t>n</m:t>
        </m:r>
        <m:r>
          <m:t>d</m:t>
        </m:r>
        <m:r>
          <m:t>n</m:t>
        </m:r>
        <m:r>
          <m:t>o</m:t>
        </m:r>
        <m:r>
          <m:t>n</m:t>
        </m:r>
        <m:r>
          <m:rPr>
            <m:sty m:val="p"/>
          </m:rPr>
          <m:t>−</m:t>
        </m:r>
        <m:r>
          <m:t>G</m:t>
        </m:r>
        <m:r>
          <m:t>A</m:t>
        </m:r>
        <m:r>
          <m:t>A</m:t>
        </m:r>
        <m:r>
          <m:t>P</m:t>
        </m:r>
        <m:r>
          <m:t>E</m:t>
        </m:r>
        <m:r>
          <m:t>P</m:t>
        </m:r>
        <m:r>
          <m:t>S</m:t>
        </m:r>
        <m:r>
          <m:t>w</m:t>
        </m:r>
        <m:r>
          <m:t>o</m:t>
        </m:r>
        <m:r>
          <m:t>u</m:t>
        </m:r>
        <m:r>
          <m:t>l</m:t>
        </m:r>
        <m:r>
          <m:t>d</m:t>
        </m:r>
        <m:r>
          <m:t>b</m:t>
        </m:r>
        <m:r>
          <m:t>e</m:t>
        </m:r>
        <m:r>
          <m:rPr>
            <m:sty m:val="p"/>
          </m:rPr>
          <m:t>*</m:t>
        </m:r>
        <m:r>
          <m:rPr>
            <m:sty m:val="p"/>
          </m:rPr>
          <m:t>*</m:t>
        </m:r>
      </m:oMath>
      <w:r>
        <w:rPr>
          <w:b/>
          <w:bCs/>
        </w:rPr>
        <w:t xml:space="preserve">18.50</w:t>
      </w:r>
      <w:r>
        <w:t xml:space="preserve">.</w:t>
      </w:r>
    </w:p>
    <w:bookmarkEnd w:id="10"/>
    <w:bookmarkStart w:id="13" w:name="X0425c79b42297d3ee53220d59b6c29d433b469c"/>
    <w:p>
      <w:pPr>
        <w:pStyle w:val="Heading2"/>
      </w:pPr>
      <w:r>
        <w:t xml:space="preserve">The central issue: memory supply and cost mitigation</w:t>
      </w:r>
    </w:p>
    <w:p>
      <w:pPr>
        <w:pStyle w:val="FirstParagraph"/>
      </w:pPr>
      <w:r>
        <w:t xml:space="preserve">Memory is likely to dominate the call.</w:t>
      </w:r>
    </w:p>
    <w:p>
      <w:pPr>
        <w:pStyle w:val="BodyText"/>
      </w:pPr>
      <w:r>
        <w:t xml:space="preserve">Zebra’s mobile computers and other hardware products are exposed to higher memory-component costs and constrained availability. In May, management said:</w:t>
      </w:r>
    </w:p>
    <w:p>
      <w:pPr>
        <w:pStyle w:val="Compact"/>
        <w:numPr>
          <w:ilvl w:val="0"/>
          <w:numId w:val="1003"/>
        </w:numPr>
      </w:pPr>
      <w:r>
        <w:t xml:space="preserve">It had visibility to the supply needed to support its outlook.</w:t>
      </w:r>
    </w:p>
    <w:p>
      <w:pPr>
        <w:pStyle w:val="Compact"/>
        <w:numPr>
          <w:ilvl w:val="0"/>
          <w:numId w:val="1003"/>
        </w:numPr>
      </w:pPr>
      <w:r>
        <w:t xml:space="preserve">Second-half guidance assumed memory supply similar to the first half.</w:t>
      </w:r>
    </w:p>
    <w:p>
      <w:pPr>
        <w:pStyle w:val="Compact"/>
        <w:numPr>
          <w:ilvl w:val="0"/>
          <w:numId w:val="1003"/>
        </w:numPr>
      </w:pPr>
      <w:r>
        <w:t xml:space="preserve">Unconstrained demand would have supported results near the high end of guidance.</w:t>
      </w:r>
    </w:p>
    <w:p>
      <w:pPr>
        <w:pStyle w:val="Compact"/>
        <w:numPr>
          <w:ilvl w:val="0"/>
          <w:numId w:val="1003"/>
        </w:numPr>
      </w:pPr>
      <w:r>
        <w:t xml:space="preserve">Higher pricing, restructuring savings, productivity, FX and other actions should fully offset an approximately</w:t>
      </w:r>
      <w:r>
        <w:t xml:space="preserve"> </w:t>
      </w:r>
      <w:r>
        <w:rPr>
          <w:b/>
          <w:bCs/>
        </w:rPr>
        <w:t xml:space="preserve">200-basis-point full-year memory headwind</w:t>
      </w:r>
      <w:r>
        <w:t xml:space="preserve">.</w:t>
      </w:r>
    </w:p>
    <w:p>
      <w:pPr>
        <w:pStyle w:val="FirstParagraph"/>
      </w:pPr>
      <w:r>
        <w:t xml:space="preserve">The Q2 margin guide already anticipates a meaningful sequential step-down from Q1’s</w:t>
      </w:r>
      <w:r>
        <w:t xml:space="preserve"> </w:t>
      </w:r>
      <w:r>
        <w:rPr>
          <w:b/>
          <w:bCs/>
        </w:rPr>
        <w:t xml:space="preserve">23.2% adjusted EBITDA margin</w:t>
      </w:r>
      <w:r>
        <w:t xml:space="preserve"> </w:t>
      </w:r>
      <w:r>
        <w:t xml:space="preserve">to slightly above 21%. Management attributed about 150 basis points of that expected decline to higher memory costs, with normalized deal mix accounting for much of the balance.</w:t>
      </w:r>
    </w:p>
    <w:p>
      <w:pPr>
        <w:pStyle w:val="BodyText"/>
      </w:pPr>
      <w:r>
        <w:t xml:space="preserve">Therefore, investors should not interpret a sequential Q2 margin decline as a surprise by itself. What matters is whether management still expects:</w:t>
      </w:r>
    </w:p>
    <w:p>
      <w:pPr>
        <w:pStyle w:val="Compact"/>
        <w:numPr>
          <w:ilvl w:val="0"/>
          <w:numId w:val="1004"/>
        </w:numPr>
      </w:pPr>
      <w:r>
        <w:t xml:space="preserve">Full mitigation of the 2026 memory headwind.</w:t>
      </w:r>
    </w:p>
    <w:p>
      <w:pPr>
        <w:pStyle w:val="Compact"/>
        <w:numPr>
          <w:ilvl w:val="0"/>
          <w:numId w:val="1004"/>
        </w:numPr>
      </w:pPr>
      <w:r>
        <w:t xml:space="preserve">No deterioration in second-half component allocations.</w:t>
      </w:r>
    </w:p>
    <w:p>
      <w:pPr>
        <w:pStyle w:val="Compact"/>
        <w:numPr>
          <w:ilvl w:val="0"/>
          <w:numId w:val="1004"/>
        </w:numPr>
      </w:pPr>
      <w:r>
        <w:t xml:space="preserve">Increasing price realization to offset further cost inflation in Q3 and Q4.</w:t>
      </w:r>
    </w:p>
    <w:p>
      <w:pPr>
        <w:pStyle w:val="Compact"/>
        <w:numPr>
          <w:ilvl w:val="0"/>
          <w:numId w:val="1004"/>
        </w:numPr>
      </w:pPr>
      <w:r>
        <w:t xml:space="preserve">Adequate supply to capitalize on demand, rather than merely protect the low end of guidance.</w:t>
      </w:r>
    </w:p>
    <w:bookmarkStart w:id="11" w:name="what-would-be-encouraging"/>
    <w:p>
      <w:pPr>
        <w:pStyle w:val="Heading3"/>
      </w:pPr>
      <w:r>
        <w:t xml:space="preserve">What would be encouraging</w:t>
      </w:r>
    </w:p>
    <w:p>
      <w:pPr>
        <w:pStyle w:val="FirstParagraph"/>
      </w:pPr>
      <w:r>
        <w:t xml:space="preserve">A positive report would include improved supply allocations, evidence that price increases are sticking without hurting volume, and continued confidence in the approximately 22% full-year EBITDA margin.</w:t>
      </w:r>
    </w:p>
    <w:bookmarkEnd w:id="11"/>
    <w:bookmarkStart w:id="12" w:name="what-would-be-concerning"/>
    <w:p>
      <w:pPr>
        <w:pStyle w:val="Heading3"/>
      </w:pPr>
      <w:r>
        <w:t xml:space="preserve">What would be concerning</w:t>
      </w:r>
    </w:p>
    <w:p>
      <w:pPr>
        <w:pStyle w:val="FirstParagraph"/>
      </w:pPr>
      <w:r>
        <w:t xml:space="preserve">Any reduction in second-half volume assumptions, acknowledgment that spot-market purchases are becoming necessary, or suggestion that price recovery is lagging costs would undermine one of the major pillars of the current outlook.</w:t>
      </w:r>
    </w:p>
    <w:bookmarkEnd w:id="12"/>
    <w:bookmarkEnd w:id="13"/>
    <w:bookmarkStart w:id="14" w:name="X389a2643284b44eb0c53f3e87fd478f8c653335"/>
    <w:p>
      <w:pPr>
        <w:pStyle w:val="Heading2"/>
      </w:pPr>
      <w:r>
        <w:t xml:space="preserve">Organic demand matters more than headline growth</w:t>
      </w:r>
    </w:p>
    <w:p>
      <w:pPr>
        <w:pStyle w:val="FirstParagraph"/>
      </w:pPr>
      <w:r>
        <w:t xml:space="preserve">Reported Q2 growth will be flattered by the Elo Touch acquisition and favorable currency translation. The headline 14%–17% growth range translates to only approximately</w:t>
      </w:r>
      <w:r>
        <w:t xml:space="preserve"> </w:t>
      </w:r>
      <w:r>
        <w:rPr>
          <w:b/>
          <w:bCs/>
        </w:rPr>
        <w:t xml:space="preserve">3.5%–6.5% growth excluding acquisition and FX effects</w:t>
      </w:r>
      <w:r>
        <w:t xml:space="preserve">.</w:t>
      </w:r>
    </w:p>
    <w:p>
      <w:pPr>
        <w:pStyle w:val="BodyText"/>
      </w:pPr>
      <w:r>
        <w:t xml:space="preserve">That is still healthy, but investors should separate the underlying business from acquired revenue.</w:t>
      </w:r>
    </w:p>
    <w:p>
      <w:pPr>
        <w:pStyle w:val="BodyText"/>
      </w:pPr>
      <w:r>
        <w:t xml:space="preserve">In Q1:</w:t>
      </w:r>
    </w:p>
    <w:p>
      <w:pPr>
        <w:pStyle w:val="Compact"/>
        <w:numPr>
          <w:ilvl w:val="0"/>
          <w:numId w:val="1005"/>
        </w:numPr>
      </w:pPr>
      <w:r>
        <w:t xml:space="preserve">Consolidated organic sales increased</w:t>
      </w:r>
      <w:r>
        <w:t xml:space="preserve"> </w:t>
      </w:r>
      <w:r>
        <w:rPr>
          <w:b/>
          <w:bCs/>
        </w:rPr>
        <w:t xml:space="preserve">4.3%</w:t>
      </w:r>
      <w:r>
        <w:t xml:space="preserve">.</w:t>
      </w:r>
    </w:p>
    <w:p>
      <w:pPr>
        <w:pStyle w:val="Compact"/>
        <w:numPr>
          <w:ilvl w:val="0"/>
          <w:numId w:val="1005"/>
        </w:numPr>
      </w:pPr>
      <w:r>
        <w:t xml:space="preserve">Connected Frontline organic sales increased</w:t>
      </w:r>
      <w:r>
        <w:t xml:space="preserve"> </w:t>
      </w:r>
      <w:r>
        <w:rPr>
          <w:b/>
          <w:bCs/>
        </w:rPr>
        <w:t xml:space="preserve">3.8%</w:t>
      </w:r>
      <w:r>
        <w:t xml:space="preserve">.</w:t>
      </w:r>
    </w:p>
    <w:p>
      <w:pPr>
        <w:pStyle w:val="Compact"/>
        <w:numPr>
          <w:ilvl w:val="0"/>
          <w:numId w:val="1005"/>
        </w:numPr>
      </w:pPr>
      <w:r>
        <w:t xml:space="preserve">Asset Visibility &amp; Automation organic sales increased</w:t>
      </w:r>
      <w:r>
        <w:t xml:space="preserve"> </w:t>
      </w:r>
      <w:r>
        <w:rPr>
          <w:b/>
          <w:bCs/>
        </w:rPr>
        <w:t xml:space="preserve">4.8%</w:t>
      </w:r>
      <w:r>
        <w:t xml:space="preserve">.</w:t>
      </w:r>
    </w:p>
    <w:p>
      <w:pPr>
        <w:pStyle w:val="Compact"/>
        <w:numPr>
          <w:ilvl w:val="0"/>
          <w:numId w:val="1005"/>
        </w:numPr>
      </w:pPr>
      <w:r>
        <w:t xml:space="preserve">Growth was positive across all regions.</w:t>
      </w:r>
    </w:p>
    <w:p>
      <w:pPr>
        <w:pStyle w:val="Compact"/>
        <w:numPr>
          <w:ilvl w:val="0"/>
          <w:numId w:val="1005"/>
        </w:numPr>
      </w:pPr>
      <w:r>
        <w:t xml:space="preserve">Manufacturing was the principal area of upside.</w:t>
      </w:r>
    </w:p>
    <w:p>
      <w:pPr>
        <w:pStyle w:val="FirstParagraph"/>
      </w:pPr>
      <w:r>
        <w:t xml:space="preserve">A high-quality Q2 would show organic growth at least matching Q1, ideally toward the upper half of the implied Q2 range. Growth concentrated primarily in acquisition revenue or pricing would be less impressive.</w:t>
      </w:r>
    </w:p>
    <w:bookmarkEnd w:id="14"/>
    <w:bookmarkStart w:id="19" w:name="key-end-markets-and-product-categories"/>
    <w:p>
      <w:pPr>
        <w:pStyle w:val="Heading2"/>
      </w:pPr>
      <w:r>
        <w:t xml:space="preserve">Key end markets and product categories</w:t>
      </w:r>
    </w:p>
    <w:bookmarkStart w:id="15" w:name="Xffc8f79e0ba044ca97a472668e951e90d90c1a3"/>
    <w:p>
      <w:pPr>
        <w:pStyle w:val="Heading3"/>
      </w:pPr>
      <w:r>
        <w:t xml:space="preserve">1. Manufacturing and machine vision</w:t>
      </w:r>
    </w:p>
    <w:p>
      <w:pPr>
        <w:pStyle w:val="FirstParagraph"/>
      </w:pPr>
      <w:r>
        <w:t xml:space="preserve">Manufacturing was Zebra’s strongest Q1 vertical, with strength across areas including automotive and semiconductors. Machine vision grew at a strong double-digit rate, and management forecast double-digit machine-vision growth for all of 2026.</w:t>
      </w:r>
    </w:p>
    <w:p>
      <w:pPr>
        <w:pStyle w:val="BodyText"/>
      </w:pPr>
      <w:r>
        <w:t xml:space="preserve">This is important because machine vision has experienced a difficult industry cycle. Continued double-digit growth would support management’s claim that the business has reached an inflection point rather than merely benefiting from an easy comparison.</w:t>
      </w:r>
    </w:p>
    <w:p>
      <w:pPr>
        <w:pStyle w:val="BodyText"/>
      </w:pPr>
      <w:r>
        <w:t xml:space="preserve">Watch for:</w:t>
      </w:r>
    </w:p>
    <w:p>
      <w:pPr>
        <w:pStyle w:val="Compact"/>
        <w:numPr>
          <w:ilvl w:val="0"/>
          <w:numId w:val="1006"/>
        </w:numPr>
      </w:pPr>
      <w:r>
        <w:t xml:space="preserve">New logistics and manufacturing project wins.</w:t>
      </w:r>
    </w:p>
    <w:p>
      <w:pPr>
        <w:pStyle w:val="Compact"/>
        <w:numPr>
          <w:ilvl w:val="0"/>
          <w:numId w:val="1006"/>
        </w:numPr>
      </w:pPr>
      <w:r>
        <w:t xml:space="preserve">Growth in fixed industrial scanning.</w:t>
      </w:r>
    </w:p>
    <w:p>
      <w:pPr>
        <w:pStyle w:val="Compact"/>
        <w:numPr>
          <w:ilvl w:val="0"/>
          <w:numId w:val="1006"/>
        </w:numPr>
      </w:pPr>
      <w:r>
        <w:t xml:space="preserve">Adoption of Photoneo’s 3D machine-vision capabilities.</w:t>
      </w:r>
    </w:p>
    <w:p>
      <w:pPr>
        <w:pStyle w:val="Compact"/>
        <w:numPr>
          <w:ilvl w:val="0"/>
          <w:numId w:val="1006"/>
        </w:numPr>
      </w:pPr>
      <w:r>
        <w:t xml:space="preserve">Whether pipeline growth is converting into revenue.</w:t>
      </w:r>
    </w:p>
    <w:bookmarkEnd w:id="15"/>
    <w:bookmarkStart w:id="16" w:name="Xe5a657a1370e273401b40651e128ef57b8f7b11"/>
    <w:p>
      <w:pPr>
        <w:pStyle w:val="Heading3"/>
      </w:pPr>
      <w:r>
        <w:t xml:space="preserve">2. Mobile computing and Connected Frontline</w:t>
      </w:r>
    </w:p>
    <w:p>
      <w:pPr>
        <w:pStyle w:val="FirstParagraph"/>
      </w:pPr>
      <w:r>
        <w:t xml:space="preserve">Mobile computing supported Q1 organic growth, but this is also the area most exposed to memory constraints. The Q2 report should clarify whether demand remains intact and whether component availability is limiting shipments.</w:t>
      </w:r>
    </w:p>
    <w:p>
      <w:pPr>
        <w:pStyle w:val="BodyText"/>
      </w:pPr>
      <w:r>
        <w:t xml:space="preserve">Longer term, Zebra sees transportation-and-logistics device refreshes as a meaningful opportunity, but management has indicated that the larger refresh cycle is more likely to begin in</w:t>
      </w:r>
      <w:r>
        <w:t xml:space="preserve"> </w:t>
      </w:r>
      <w:r>
        <w:rPr>
          <w:b/>
          <w:bCs/>
        </w:rPr>
        <w:t xml:space="preserve">2027</w:t>
      </w:r>
      <w:r>
        <w:t xml:space="preserve">. Investors should avoid assuming that this will materially accelerate 2026 results.</w:t>
      </w:r>
    </w:p>
    <w:bookmarkEnd w:id="16"/>
    <w:bookmarkStart w:id="17" w:name="X730b4dabf4fb4de34d97956be017f311e854fbf"/>
    <w:p>
      <w:pPr>
        <w:pStyle w:val="Heading3"/>
      </w:pPr>
      <w:r>
        <w:t xml:space="preserve">3. RFID</w:t>
      </w:r>
    </w:p>
    <w:p>
      <w:pPr>
        <w:pStyle w:val="FirstParagraph"/>
      </w:pPr>
      <w:r>
        <w:t xml:space="preserve">RFID declined in Q1 because Zebra was cycling large prior-year projects. Management expected RFID to return to growth in Q2 and for the full year.</w:t>
      </w:r>
    </w:p>
    <w:p>
      <w:pPr>
        <w:pStyle w:val="BodyText"/>
      </w:pPr>
      <w:r>
        <w:t xml:space="preserve">A rebound would be constructive, particularly if demand is broadening beyond retail apparel into logistics, manufacturing, grocery, healthcare and restaurant applications.</w:t>
      </w:r>
    </w:p>
    <w:bookmarkEnd w:id="17"/>
    <w:bookmarkStart w:id="18" w:name="X27ab44e54ccb77c7e9d4fc0dc403c07f96ac827"/>
    <w:p>
      <w:pPr>
        <w:pStyle w:val="Heading3"/>
      </w:pPr>
      <w:r>
        <w:t xml:space="preserve">4. Elo Touch integration</w:t>
      </w:r>
    </w:p>
    <w:p>
      <w:pPr>
        <w:pStyle w:val="FirstParagraph"/>
      </w:pPr>
      <w:r>
        <w:t xml:space="preserve">Zebra acquired Elo Touch for approximately</w:t>
      </w:r>
      <w:r>
        <w:t xml:space="preserve"> </w:t>
      </w:r>
      <w:r>
        <w:rPr>
          <w:b/>
          <w:bCs/>
        </w:rPr>
        <w:t xml:space="preserve">$1.3 billion</w:t>
      </w:r>
      <w:r>
        <w:t xml:space="preserve"> </w:t>
      </w:r>
      <w:r>
        <w:t xml:space="preserve">in September 2025. Management expects Elo to grow at a mid-single-digit rate in 2026 and has highlighted early geographic expansion and cross-selling opportunities.</w:t>
      </w:r>
    </w:p>
    <w:p>
      <w:pPr>
        <w:pStyle w:val="BodyText"/>
      </w:pPr>
      <w:r>
        <w:t xml:space="preserve">Investors should look for:</w:t>
      </w:r>
    </w:p>
    <w:p>
      <w:pPr>
        <w:pStyle w:val="Compact"/>
        <w:numPr>
          <w:ilvl w:val="0"/>
          <w:numId w:val="1007"/>
        </w:numPr>
      </w:pPr>
      <w:r>
        <w:t xml:space="preserve">Elo’s standalone growth relative to the mid-single-digit target.</w:t>
      </w:r>
    </w:p>
    <w:p>
      <w:pPr>
        <w:pStyle w:val="Compact"/>
        <w:numPr>
          <w:ilvl w:val="0"/>
          <w:numId w:val="1007"/>
        </w:numPr>
      </w:pPr>
      <w:r>
        <w:t xml:space="preserve">Revenue synergies from Zebra’s global channel.</w:t>
      </w:r>
    </w:p>
    <w:p>
      <w:pPr>
        <w:pStyle w:val="Compact"/>
        <w:numPr>
          <w:ilvl w:val="0"/>
          <w:numId w:val="1007"/>
        </w:numPr>
      </w:pPr>
      <w:r>
        <w:t xml:space="preserve">Cost-synergy progress.</w:t>
      </w:r>
    </w:p>
    <w:p>
      <w:pPr>
        <w:pStyle w:val="Compact"/>
        <w:numPr>
          <w:ilvl w:val="0"/>
          <w:numId w:val="1007"/>
        </w:numPr>
      </w:pPr>
      <w:r>
        <w:t xml:space="preserve">Margin contribution.</w:t>
      </w:r>
    </w:p>
    <w:p>
      <w:pPr>
        <w:pStyle w:val="Compact"/>
        <w:numPr>
          <w:ilvl w:val="0"/>
          <w:numId w:val="1007"/>
        </w:numPr>
      </w:pPr>
      <w:r>
        <w:t xml:space="preserve">Evidence that Elo is broadening Zebra’s position in point-of-sale, self-service and interactive displays rather than simply adding acquired revenue.</w:t>
      </w:r>
    </w:p>
    <w:bookmarkEnd w:id="18"/>
    <w:bookmarkEnd w:id="19"/>
    <w:bookmarkStart w:id="20" w:name="margin-quality"/>
    <w:p>
      <w:pPr>
        <w:pStyle w:val="Heading2"/>
      </w:pPr>
      <w:r>
        <w:t xml:space="preserve">Margin quality</w:t>
      </w:r>
    </w:p>
    <w:p>
      <w:pPr>
        <w:pStyle w:val="FirstParagraph"/>
      </w:pPr>
      <w:r>
        <w:t xml:space="preserve">Q1’s adjusted gross margin reached</w:t>
      </w:r>
      <w:r>
        <w:t xml:space="preserve"> </w:t>
      </w:r>
      <w:r>
        <w:rPr>
          <w:b/>
          <w:bCs/>
        </w:rPr>
        <w:t xml:space="preserve">50.4%</w:t>
      </w:r>
      <w:r>
        <w:t xml:space="preserve">, a multi-year high, helped by productivity, FX and favorable product and customer mix. That level is unlikely to repeat in Q2 given the anticipated memory-cost step-up.</w:t>
      </w:r>
    </w:p>
    <w:p>
      <w:pPr>
        <w:pStyle w:val="BodyText"/>
      </w:pPr>
      <w:r>
        <w:t xml:space="preserve">The key distinction is between a</w:t>
      </w:r>
      <w:r>
        <w:t xml:space="preserve"> </w:t>
      </w:r>
      <w:r>
        <w:rPr>
          <w:b/>
          <w:bCs/>
        </w:rPr>
        <w:t xml:space="preserve">planned normalization</w:t>
      </w:r>
      <w:r>
        <w:t xml:space="preserve"> </w:t>
      </w:r>
      <w:r>
        <w:t xml:space="preserve">and a more fundamental deterioration.</w:t>
      </w:r>
    </w:p>
    <w:p>
      <w:pPr>
        <w:pStyle w:val="BodyText"/>
      </w:pPr>
      <w:r>
        <w:t xml:space="preserve">Investors should examine:</w:t>
      </w:r>
    </w:p>
    <w:p>
      <w:pPr>
        <w:pStyle w:val="Compact"/>
        <w:numPr>
          <w:ilvl w:val="0"/>
          <w:numId w:val="1008"/>
        </w:numPr>
      </w:pPr>
      <w:r>
        <w:t xml:space="preserve">Adjusted gross margin relative to the expected memory impact.</w:t>
      </w:r>
    </w:p>
    <w:p>
      <w:pPr>
        <w:pStyle w:val="Compact"/>
        <w:numPr>
          <w:ilvl w:val="0"/>
          <w:numId w:val="1008"/>
        </w:numPr>
      </w:pPr>
      <w:r>
        <w:t xml:space="preserve">AVA segment margin, which benefited from strong printing and machine-vision mix in Q1.</w:t>
      </w:r>
    </w:p>
    <w:p>
      <w:pPr>
        <w:pStyle w:val="Compact"/>
        <w:numPr>
          <w:ilvl w:val="0"/>
          <w:numId w:val="1008"/>
        </w:numPr>
      </w:pPr>
      <w:r>
        <w:t xml:space="preserve">Pricing contribution versus unit volume.</w:t>
      </w:r>
    </w:p>
    <w:p>
      <w:pPr>
        <w:pStyle w:val="Compact"/>
        <w:numPr>
          <w:ilvl w:val="0"/>
          <w:numId w:val="1008"/>
        </w:numPr>
      </w:pPr>
      <w:r>
        <w:t xml:space="preserve">Savings from the 2025 Productivity Plan.</w:t>
      </w:r>
    </w:p>
    <w:p>
      <w:pPr>
        <w:pStyle w:val="Compact"/>
        <w:numPr>
          <w:ilvl w:val="0"/>
          <w:numId w:val="1008"/>
        </w:numPr>
      </w:pPr>
      <w:r>
        <w:t xml:space="preserve">Freight costs, which had risen 20%–30% across relevant lanes but represented less than 2% of revenue.</w:t>
      </w:r>
    </w:p>
    <w:p>
      <w:pPr>
        <w:pStyle w:val="FirstParagraph"/>
      </w:pPr>
      <w:r>
        <w:t xml:space="preserve">Zebra expects approximately</w:t>
      </w:r>
      <w:r>
        <w:t xml:space="preserve"> </w:t>
      </w:r>
      <w:r>
        <w:rPr>
          <w:b/>
          <w:bCs/>
        </w:rPr>
        <w:t xml:space="preserve">$35 million of annualized pre-tax savings</w:t>
      </w:r>
      <w:r>
        <w:t xml:space="preserve"> </w:t>
      </w:r>
      <w:r>
        <w:t xml:space="preserve">from its productivity program and planned to substantially complete the actions during the second half of 2026.</w:t>
      </w:r>
    </w:p>
    <w:bookmarkEnd w:id="20"/>
    <w:bookmarkStart w:id="22" w:name="X0a5b3ce3f7665f6e37c0661c3c1600cfd02049b"/>
    <w:p>
      <w:pPr>
        <w:pStyle w:val="Heading2"/>
      </w:pPr>
      <w:r>
        <w:t xml:space="preserve">Full-year guidance is the likely stock driver</w:t>
      </w:r>
    </w:p>
    <w:p>
      <w:pPr>
        <w:pStyle w:val="FirstParagraph"/>
      </w:pPr>
      <w:r>
        <w:t xml:space="preserve">An in-line Q2 accompanied by unchanged guidance could produce a muted reaction following the stock’s strong run. Conversely, investors may tolerate modest quarterly noise if management raises the full-year outlook or meaningfully de-risks memory supply.</w:t>
      </w:r>
    </w:p>
    <w:p>
      <w:pPr>
        <w:pStyle w:val="BodyText"/>
      </w:pPr>
      <w:r>
        <w:t xml:space="preserve">The current full-year guidance implies:</w:t>
      </w:r>
    </w:p>
    <w:p>
      <w:pPr>
        <w:pStyle w:val="Compact"/>
        <w:numPr>
          <w:ilvl w:val="0"/>
          <w:numId w:val="1009"/>
        </w:numPr>
      </w:pPr>
      <w:r>
        <w:t xml:space="preserve">Roughly</w:t>
      </w:r>
      <w:r>
        <w:t xml:space="preserve"> </w:t>
      </w:r>
      <w:r>
        <w:rPr>
          <w:b/>
          <w:bCs/>
        </w:rPr>
        <w:t xml:space="preserve">3%–7% organic growth</w:t>
      </w:r>
      <w:r>
        <w:t xml:space="preserve">, after removing the estimated seven-point acquisition and FX contribution.</w:t>
      </w:r>
    </w:p>
    <w:p>
      <w:pPr>
        <w:pStyle w:val="Compact"/>
        <w:numPr>
          <w:ilvl w:val="0"/>
          <w:numId w:val="1009"/>
        </w:numPr>
      </w:pPr>
      <w:r>
        <w:t xml:space="preserve">Approximately</w:t>
      </w:r>
      <w:r>
        <w:t xml:space="preserve"> </w:t>
      </w:r>
      <w:r>
        <w:rPr>
          <w:b/>
          <w:bCs/>
        </w:rPr>
        <w:t xml:space="preserve">17% non-GAAP EPS growth</w:t>
      </w:r>
      <w:r>
        <w:t xml:space="preserve"> </w:t>
      </w:r>
      <w:r>
        <w:t xml:space="preserve">at the midpoint versus 2025.</w:t>
      </w:r>
    </w:p>
    <w:p>
      <w:pPr>
        <w:pStyle w:val="Compact"/>
        <w:numPr>
          <w:ilvl w:val="0"/>
          <w:numId w:val="1009"/>
        </w:numPr>
      </w:pPr>
      <w:r>
        <w:t xml:space="preserve">A modest EBITDA-margin improvement despite memory inflation.</w:t>
      </w:r>
    </w:p>
    <w:p>
      <w:pPr>
        <w:pStyle w:val="Compact"/>
        <w:numPr>
          <w:ilvl w:val="0"/>
          <w:numId w:val="1009"/>
        </w:numPr>
      </w:pPr>
      <w:r>
        <w:t xml:space="preserve">Free-cash-flow conversion of roughly 100%.</w:t>
      </w:r>
    </w:p>
    <w:p>
      <w:pPr>
        <w:pStyle w:val="FirstParagraph"/>
      </w:pPr>
      <w:r>
        <w:t xml:space="preserve">At the August 3 closing price, ZBRA trades at approximately</w:t>
      </w:r>
      <w:r>
        <w:t xml:space="preserve"> </w:t>
      </w:r>
      <w:r>
        <w:rPr>
          <w:b/>
          <w:bCs/>
        </w:rPr>
        <w:t xml:space="preserve">15.8 times</w:t>
      </w:r>
      <w:r>
        <w:t xml:space="preserve"> </w:t>
      </w:r>
      <w:r>
        <w:t xml:space="preserve">the midpoint of 2026 non-GAAP EPS guidance. That valuation is not extreme, but the recent share-price appreciation means the market is increasingly discounting successful execution.</w:t>
      </w:r>
    </w:p>
    <w:bookmarkStart w:id="21" w:name="what-would-constitute-a-meaningful-raise"/>
    <w:p>
      <w:pPr>
        <w:pStyle w:val="Heading3"/>
      </w:pPr>
      <w:r>
        <w:t xml:space="preserve">What would constitute a meaningful raise?</w:t>
      </w:r>
    </w:p>
    <w:p>
      <w:pPr>
        <w:pStyle w:val="FirstParagraph"/>
      </w:pPr>
      <w:r>
        <w:t xml:space="preserve">A token increase reflecting only Q2 upside or additional repurchases would carry less weight than a raise based on:</w:t>
      </w:r>
    </w:p>
    <w:p>
      <w:pPr>
        <w:pStyle w:val="Compact"/>
        <w:numPr>
          <w:ilvl w:val="0"/>
          <w:numId w:val="1010"/>
        </w:numPr>
      </w:pPr>
      <w:r>
        <w:t xml:space="preserve">Higher organic demand.</w:t>
      </w:r>
    </w:p>
    <w:p>
      <w:pPr>
        <w:pStyle w:val="Compact"/>
        <w:numPr>
          <w:ilvl w:val="0"/>
          <w:numId w:val="1010"/>
        </w:numPr>
      </w:pPr>
      <w:r>
        <w:t xml:space="preserve">Better memory availability.</w:t>
      </w:r>
    </w:p>
    <w:p>
      <w:pPr>
        <w:pStyle w:val="Compact"/>
        <w:numPr>
          <w:ilvl w:val="0"/>
          <w:numId w:val="1010"/>
        </w:numPr>
      </w:pPr>
      <w:r>
        <w:t xml:space="preserve">Improved operating margins.</w:t>
      </w:r>
    </w:p>
    <w:p>
      <w:pPr>
        <w:pStyle w:val="Compact"/>
        <w:numPr>
          <w:ilvl w:val="0"/>
          <w:numId w:val="1010"/>
        </w:numPr>
      </w:pPr>
      <w:r>
        <w:t xml:space="preserve">Increased machine-vision or manufacturing expectations.</w:t>
      </w:r>
    </w:p>
    <w:bookmarkEnd w:id="21"/>
    <w:bookmarkEnd w:id="22"/>
    <w:bookmarkStart w:id="23" w:name="cash-flow-and-capital-allocation"/>
    <w:p>
      <w:pPr>
        <w:pStyle w:val="Heading2"/>
      </w:pPr>
      <w:r>
        <w:t xml:space="preserve">Cash flow and capital allocation</w:t>
      </w:r>
    </w:p>
    <w:p>
      <w:pPr>
        <w:pStyle w:val="FirstParagraph"/>
      </w:pPr>
      <w:r>
        <w:t xml:space="preserve">Zebra generated</w:t>
      </w:r>
      <w:r>
        <w:t xml:space="preserve"> </w:t>
      </w:r>
      <w:r>
        <w:rPr>
          <w:b/>
          <w:bCs/>
        </w:rPr>
        <w:t xml:space="preserve">$163 million of free cash flow in Q1</w:t>
      </w:r>
      <w:r>
        <w:t xml:space="preserve"> </w:t>
      </w:r>
      <w:r>
        <w:t xml:space="preserve">and targets at least $900 million for the year. Cash generation is weighted toward later quarters, making working-capital commentary important.</w:t>
      </w:r>
    </w:p>
    <w:p>
      <w:pPr>
        <w:pStyle w:val="BodyText"/>
      </w:pPr>
      <w:r>
        <w:t xml:space="preserve">The company had repurchased **</w:t>
      </w:r>
      <m:oMath>
        <m:r>
          <m:t>500</m:t>
        </m:r>
        <m:r>
          <m:t>m</m:t>
        </m:r>
        <m:r>
          <m:t>i</m:t>
        </m:r>
        <m:r>
          <m:t>l</m:t>
        </m:r>
        <m:r>
          <m:t>l</m:t>
        </m:r>
        <m:r>
          <m:t>i</m:t>
        </m:r>
        <m:r>
          <m:t>o</m:t>
        </m:r>
        <m:r>
          <m:t>n</m:t>
        </m:r>
        <m:r>
          <m:t>o</m:t>
        </m:r>
        <m:r>
          <m:t>f</m:t>
        </m:r>
        <m:r>
          <m:t>s</m:t>
        </m:r>
        <m:r>
          <m:t>h</m:t>
        </m:r>
        <m:r>
          <m:t>a</m:t>
        </m:r>
        <m:r>
          <m:t>r</m:t>
        </m:r>
        <m:r>
          <m:t>e</m:t>
        </m:r>
        <m:r>
          <m:t>s</m:t>
        </m:r>
        <m:r>
          <m:t>t</m:t>
        </m:r>
        <m:r>
          <m:t>h</m:t>
        </m:r>
        <m:r>
          <m:t>r</m:t>
        </m:r>
        <m:r>
          <m:t>o</m:t>
        </m:r>
        <m:r>
          <m:t>u</m:t>
        </m:r>
        <m:r>
          <m:t>g</m:t>
        </m:r>
        <m:r>
          <m:t>h</m:t>
        </m:r>
        <m:r>
          <m:t>e</m:t>
        </m:r>
        <m:r>
          <m:t>a</m:t>
        </m:r>
        <m:r>
          <m:t>r</m:t>
        </m:r>
        <m:r>
          <m:t>l</m:t>
        </m:r>
        <m:r>
          <m:t>y</m:t>
        </m:r>
        <m:r>
          <m:t>M</m:t>
        </m:r>
        <m:r>
          <m:t>a</m:t>
        </m:r>
        <m:r>
          <m:t>y</m:t>
        </m:r>
        <m:r>
          <m:rPr>
            <m:sty m:val="p"/>
          </m:rPr>
          <m:t>*</m:t>
        </m:r>
        <m:r>
          <m:rPr>
            <m:sty m:val="p"/>
          </m:rPr>
          <m:t>*</m:t>
        </m:r>
        <m:r>
          <m:rPr>
            <m:sty m:val="p"/>
          </m:rPr>
          <m:t>—</m:t>
        </m:r>
      </m:oMath>
      <w:r>
        <w:t xml:space="preserve">300 million during Q1 and another $200 million early in Q2. Its May EPS outlook assumed another $100 million of repurchases, although management said it could allocate all 2026 free cash flow to buybacks if valuation remained attractive.</w:t>
      </w:r>
    </w:p>
    <w:p>
      <w:pPr>
        <w:pStyle w:val="BodyText"/>
      </w:pPr>
      <w:r>
        <w:t xml:space="preserve">Investors should balance the accretion against leverage:</w:t>
      </w:r>
    </w:p>
    <w:p>
      <w:pPr>
        <w:pStyle w:val="Compact"/>
        <w:numPr>
          <w:ilvl w:val="0"/>
          <w:numId w:val="1011"/>
        </w:numPr>
      </w:pPr>
      <w:r>
        <w:t xml:space="preserve">Q1 total debt was approximately</w:t>
      </w:r>
      <w:r>
        <w:t xml:space="preserve"> </w:t>
      </w:r>
      <w:r>
        <w:rPr>
          <w:b/>
          <w:bCs/>
        </w:rPr>
        <w:t xml:space="preserve">$2.66 billion</w:t>
      </w:r>
      <w:r>
        <w:t xml:space="preserve">.</w:t>
      </w:r>
    </w:p>
    <w:p>
      <w:pPr>
        <w:pStyle w:val="Compact"/>
        <w:numPr>
          <w:ilvl w:val="0"/>
          <w:numId w:val="1011"/>
        </w:numPr>
      </w:pPr>
      <w:r>
        <w:t xml:space="preserve">Cash was only</w:t>
      </w:r>
      <w:r>
        <w:t xml:space="preserve"> </w:t>
      </w:r>
      <w:r>
        <w:rPr>
          <w:b/>
          <w:bCs/>
        </w:rPr>
        <w:t xml:space="preserve">$114 million</w:t>
      </w:r>
      <w:r>
        <w:t xml:space="preserve">.</w:t>
      </w:r>
    </w:p>
    <w:p>
      <w:pPr>
        <w:pStyle w:val="Compact"/>
        <w:numPr>
          <w:ilvl w:val="0"/>
          <w:numId w:val="1011"/>
        </w:numPr>
      </w:pPr>
      <w:r>
        <w:t xml:space="preserve">Management reported a debt-leverage ratio of</w:t>
      </w:r>
      <w:r>
        <w:t xml:space="preserve"> </w:t>
      </w:r>
      <w:r>
        <w:rPr>
          <w:b/>
          <w:bCs/>
        </w:rPr>
        <w:t xml:space="preserve">2.1 times</w:t>
      </w:r>
      <w:r>
        <w:t xml:space="preserve">.</w:t>
      </w:r>
    </w:p>
    <w:p>
      <w:pPr>
        <w:pStyle w:val="Compact"/>
        <w:numPr>
          <w:ilvl w:val="0"/>
          <w:numId w:val="1011"/>
        </w:numPr>
      </w:pPr>
      <w:r>
        <w:t xml:space="preserve">Zebra increased revolver and receivables-facility borrowings partly to fund repurchases.</w:t>
      </w:r>
    </w:p>
    <w:p>
      <w:pPr>
        <w:pStyle w:val="FirstParagraph"/>
      </w:pPr>
      <w:r>
        <w:t xml:space="preserve">Additional buybacks would support EPS, but organic earnings growth and debt reduction would be higher-quality sources of shareholder value.</w:t>
      </w:r>
    </w:p>
    <w:bookmarkEnd w:id="23"/>
    <w:bookmarkStart w:id="24" w:name="Xcf95c4624f3d76f24a360c520bd75289f3ec22b"/>
    <w:p>
      <w:pPr>
        <w:pStyle w:val="Heading2"/>
      </w:pPr>
      <w:r>
        <w:t xml:space="preserve">Tariffs: potential upside, but not part of the core thesis</w:t>
      </w:r>
    </w:p>
    <w:p>
      <w:pPr>
        <w:pStyle w:val="FirstParagraph"/>
      </w:pPr>
      <w:r>
        <w:t xml:space="preserve">Zebra disclosed that it previously paid approximately</w:t>
      </w:r>
      <w:r>
        <w:t xml:space="preserve"> </w:t>
      </w:r>
      <w:r>
        <w:rPr>
          <w:b/>
          <w:bCs/>
        </w:rPr>
        <w:t xml:space="preserve">$75 million</w:t>
      </w:r>
      <w:r>
        <w:t xml:space="preserve"> </w:t>
      </w:r>
      <w:r>
        <w:t xml:space="preserve">of tariffs subsequently invalidated by a February 2026 U.S. Supreme Court decision. It intends to seek refunds but had not recognized a receivable because timing and recoverability remained uncertain.</w:t>
      </w:r>
    </w:p>
    <w:p>
      <w:pPr>
        <w:pStyle w:val="BodyText"/>
      </w:pPr>
      <w:r>
        <w:t xml:space="preserve">Management expected a small Q2 tariff benefit but no material full-year guidance benefit, assuming other tariff mechanisms eventually replaced the invalidated rates.</w:t>
      </w:r>
    </w:p>
    <w:p>
      <w:pPr>
        <w:pStyle w:val="BodyText"/>
      </w:pPr>
      <w:r>
        <w:t xml:space="preserve">Any refund could create cash or GAAP earnings upside, but investors should treat it as uncertain and nonrecurring. More important will be Zebra’s current assessment of semiconductor and Mexico-related trade exposure.</w:t>
      </w:r>
    </w:p>
    <w:bookmarkEnd w:id="24"/>
    <w:bookmarkStart w:id="28" w:name="bull-base-and-bear-interpretations"/>
    <w:p>
      <w:pPr>
        <w:pStyle w:val="Heading2"/>
      </w:pPr>
      <w:r>
        <w:t xml:space="preserve">Bull, base and bear interpretations</w:t>
      </w:r>
    </w:p>
    <w:bookmarkStart w:id="25" w:name="bull-case"/>
    <w:p>
      <w:pPr>
        <w:pStyle w:val="Heading3"/>
      </w:pPr>
      <w:r>
        <w:t xml:space="preserve">Bull case</w:t>
      </w:r>
    </w:p>
    <w:p>
      <w:pPr>
        <w:pStyle w:val="Compact"/>
        <w:numPr>
          <w:ilvl w:val="0"/>
          <w:numId w:val="1012"/>
        </w:numPr>
      </w:pPr>
      <w:r>
        <w:t xml:space="preserve">Revenue and EPS finish above the high end of guidance.</w:t>
      </w:r>
    </w:p>
    <w:p>
      <w:pPr>
        <w:pStyle w:val="Compact"/>
        <w:numPr>
          <w:ilvl w:val="0"/>
          <w:numId w:val="1012"/>
        </w:numPr>
      </w:pPr>
      <w:r>
        <w:t xml:space="preserve">Organic growth is near or above 6%.</w:t>
      </w:r>
    </w:p>
    <w:p>
      <w:pPr>
        <w:pStyle w:val="Compact"/>
        <w:numPr>
          <w:ilvl w:val="0"/>
          <w:numId w:val="1012"/>
        </w:numPr>
      </w:pPr>
      <w:r>
        <w:t xml:space="preserve">Machine vision and manufacturing remain strong.</w:t>
      </w:r>
    </w:p>
    <w:p>
      <w:pPr>
        <w:pStyle w:val="Compact"/>
        <w:numPr>
          <w:ilvl w:val="0"/>
          <w:numId w:val="1012"/>
        </w:numPr>
      </w:pPr>
      <w:r>
        <w:t xml:space="preserve">RFID returns to growth.</w:t>
      </w:r>
    </w:p>
    <w:p>
      <w:pPr>
        <w:pStyle w:val="Compact"/>
        <w:numPr>
          <w:ilvl w:val="0"/>
          <w:numId w:val="1012"/>
        </w:numPr>
      </w:pPr>
      <w:r>
        <w:t xml:space="preserve">Memory supply improves, with full cost mitigation reaffirmed.</w:t>
      </w:r>
    </w:p>
    <w:p>
      <w:pPr>
        <w:pStyle w:val="Compact"/>
        <w:numPr>
          <w:ilvl w:val="0"/>
          <w:numId w:val="1012"/>
        </w:numPr>
      </w:pPr>
      <w:r>
        <w:t xml:space="preserve">Full-year sales or EPS guidance is raised for operational reasons.</w:t>
      </w:r>
    </w:p>
    <w:p>
      <w:pPr>
        <w:pStyle w:val="Compact"/>
        <w:numPr>
          <w:ilvl w:val="0"/>
          <w:numId w:val="1012"/>
        </w:numPr>
      </w:pPr>
      <w:r>
        <w:t xml:space="preserve">Elo synergies and cash generation track ahead of plan.</w:t>
      </w:r>
    </w:p>
    <w:bookmarkEnd w:id="25"/>
    <w:bookmarkStart w:id="26" w:name="base-case"/>
    <w:p>
      <w:pPr>
        <w:pStyle w:val="Heading3"/>
      </w:pPr>
      <w:r>
        <w:t xml:space="preserve">Base case</w:t>
      </w:r>
    </w:p>
    <w:p>
      <w:pPr>
        <w:pStyle w:val="Compact"/>
        <w:numPr>
          <w:ilvl w:val="0"/>
          <w:numId w:val="1013"/>
        </w:numPr>
      </w:pPr>
      <w:r>
        <w:t xml:space="preserve">Revenue is around $1.49 billion.</w:t>
      </w:r>
    </w:p>
    <w:p>
      <w:pPr>
        <w:pStyle w:val="Compact"/>
        <w:numPr>
          <w:ilvl w:val="0"/>
          <w:numId w:val="1013"/>
        </w:numPr>
      </w:pPr>
      <w:r>
        <w:t xml:space="preserve">EPS is near the $4.35 midpoint.</w:t>
      </w:r>
    </w:p>
    <w:p>
      <w:pPr>
        <w:pStyle w:val="Compact"/>
        <w:numPr>
          <w:ilvl w:val="0"/>
          <w:numId w:val="1013"/>
        </w:numPr>
      </w:pPr>
      <w:r>
        <w:t xml:space="preserve">EBITDA margin is modestly above 21%.</w:t>
      </w:r>
    </w:p>
    <w:p>
      <w:pPr>
        <w:pStyle w:val="Compact"/>
        <w:numPr>
          <w:ilvl w:val="0"/>
          <w:numId w:val="1013"/>
        </w:numPr>
      </w:pPr>
      <w:r>
        <w:t xml:space="preserve">Organic growth remains in the mid-single digits.</w:t>
      </w:r>
    </w:p>
    <w:p>
      <w:pPr>
        <w:pStyle w:val="Compact"/>
        <w:numPr>
          <w:ilvl w:val="0"/>
          <w:numId w:val="1013"/>
        </w:numPr>
      </w:pPr>
      <w:r>
        <w:t xml:space="preserve">Full-year guidance is reiterated, perhaps with modestly more confidence.</w:t>
      </w:r>
    </w:p>
    <w:p>
      <w:pPr>
        <w:pStyle w:val="Compact"/>
        <w:numPr>
          <w:ilvl w:val="0"/>
          <w:numId w:val="1013"/>
        </w:numPr>
      </w:pPr>
      <w:r>
        <w:t xml:space="preserve">Memory remains constrained but manageable.</w:t>
      </w:r>
    </w:p>
    <w:p>
      <w:pPr>
        <w:pStyle w:val="FirstParagraph"/>
      </w:pPr>
      <w:r>
        <w:t xml:space="preserve">This would be a fundamentally respectable outcome, although the share-price reaction could be subdued given the recent rally.</w:t>
      </w:r>
    </w:p>
    <w:bookmarkEnd w:id="26"/>
    <w:bookmarkStart w:id="27" w:name="bear-case"/>
    <w:p>
      <w:pPr>
        <w:pStyle w:val="Heading3"/>
      </w:pPr>
      <w:r>
        <w:t xml:space="preserve">Bear case</w:t>
      </w:r>
    </w:p>
    <w:p>
      <w:pPr>
        <w:pStyle w:val="Compact"/>
        <w:numPr>
          <w:ilvl w:val="0"/>
          <w:numId w:val="1014"/>
        </w:numPr>
      </w:pPr>
      <w:r>
        <w:t xml:space="preserve">Organic growth falls below the implied range despite pricing.</w:t>
      </w:r>
    </w:p>
    <w:p>
      <w:pPr>
        <w:pStyle w:val="Compact"/>
        <w:numPr>
          <w:ilvl w:val="0"/>
          <w:numId w:val="1014"/>
        </w:numPr>
      </w:pPr>
      <w:r>
        <w:t xml:space="preserve">Memory shortages constrain shipments more than anticipated.</w:t>
      </w:r>
    </w:p>
    <w:p>
      <w:pPr>
        <w:pStyle w:val="Compact"/>
        <w:numPr>
          <w:ilvl w:val="0"/>
          <w:numId w:val="1014"/>
        </w:numPr>
      </w:pPr>
      <w:r>
        <w:t xml:space="preserve">Price realization lags component inflation.</w:t>
      </w:r>
    </w:p>
    <w:p>
      <w:pPr>
        <w:pStyle w:val="Compact"/>
        <w:numPr>
          <w:ilvl w:val="0"/>
          <w:numId w:val="1014"/>
        </w:numPr>
      </w:pPr>
      <w:r>
        <w:t xml:space="preserve">Q2 EBITDA margin falls below 21%, or the 22% full-year target is reduced.</w:t>
      </w:r>
    </w:p>
    <w:p>
      <w:pPr>
        <w:pStyle w:val="Compact"/>
        <w:numPr>
          <w:ilvl w:val="0"/>
          <w:numId w:val="1014"/>
        </w:numPr>
      </w:pPr>
      <w:r>
        <w:t xml:space="preserve">Elo growth or integration progress disappoints.</w:t>
      </w:r>
    </w:p>
    <w:p>
      <w:pPr>
        <w:pStyle w:val="Compact"/>
        <w:numPr>
          <w:ilvl w:val="0"/>
          <w:numId w:val="1014"/>
        </w:numPr>
      </w:pPr>
      <w:r>
        <w:t xml:space="preserve">Management lowers second-half volume assumptions or full-year free-cash-flow guidance.</w:t>
      </w:r>
    </w:p>
    <w:bookmarkEnd w:id="27"/>
    <w:bookmarkEnd w:id="28"/>
    <w:bookmarkStart w:id="29" w:name="questions-investors-should-want-answered"/>
    <w:p>
      <w:pPr>
        <w:pStyle w:val="Heading2"/>
      </w:pPr>
      <w:r>
        <w:t xml:space="preserve">Questions investors should want answered</w:t>
      </w:r>
    </w:p>
    <w:p>
      <w:pPr>
        <w:pStyle w:val="Compact"/>
        <w:numPr>
          <w:ilvl w:val="0"/>
          <w:numId w:val="1015"/>
        </w:numPr>
      </w:pPr>
      <w:r>
        <w:rPr>
          <w:b/>
          <w:bCs/>
        </w:rPr>
        <w:t xml:space="preserve">How much demand could not be fulfilled in Q2 because of memory constraints?</w:t>
      </w:r>
    </w:p>
    <w:p>
      <w:pPr>
        <w:pStyle w:val="Compact"/>
        <w:numPr>
          <w:ilvl w:val="0"/>
          <w:numId w:val="1015"/>
        </w:numPr>
      </w:pPr>
      <w:r>
        <w:rPr>
          <w:b/>
          <w:bCs/>
        </w:rPr>
        <w:t xml:space="preserve">Have second-half memory allocations improved, held steady or deteriorated since May?</w:t>
      </w:r>
    </w:p>
    <w:p>
      <w:pPr>
        <w:pStyle w:val="Compact"/>
        <w:numPr>
          <w:ilvl w:val="0"/>
          <w:numId w:val="1015"/>
        </w:numPr>
      </w:pPr>
      <w:r>
        <w:rPr>
          <w:b/>
          <w:bCs/>
        </w:rPr>
        <w:t xml:space="preserve">How much Q2 organic growth came from price versus unit volume?</w:t>
      </w:r>
    </w:p>
    <w:p>
      <w:pPr>
        <w:pStyle w:val="Compact"/>
        <w:numPr>
          <w:ilvl w:val="0"/>
          <w:numId w:val="1015"/>
        </w:numPr>
      </w:pPr>
      <w:r>
        <w:rPr>
          <w:b/>
          <w:bCs/>
        </w:rPr>
        <w:t xml:space="preserve">Is unconstrained demand still consistent with the high end of full-year guidance?</w:t>
      </w:r>
    </w:p>
    <w:p>
      <w:pPr>
        <w:pStyle w:val="Compact"/>
        <w:numPr>
          <w:ilvl w:val="0"/>
          <w:numId w:val="1015"/>
        </w:numPr>
      </w:pPr>
      <w:r>
        <w:rPr>
          <w:b/>
          <w:bCs/>
        </w:rPr>
        <w:t xml:space="preserve">Did machine vision maintain double-digit growth?</w:t>
      </w:r>
    </w:p>
    <w:p>
      <w:pPr>
        <w:pStyle w:val="Compact"/>
        <w:numPr>
          <w:ilvl w:val="0"/>
          <w:numId w:val="1015"/>
        </w:numPr>
      </w:pPr>
      <w:r>
        <w:rPr>
          <w:b/>
          <w:bCs/>
        </w:rPr>
        <w:t xml:space="preserve">Has RFID returned to growth as expected?</w:t>
      </w:r>
    </w:p>
    <w:p>
      <w:pPr>
        <w:pStyle w:val="Compact"/>
        <w:numPr>
          <w:ilvl w:val="0"/>
          <w:numId w:val="1015"/>
        </w:numPr>
      </w:pPr>
      <w:r>
        <w:rPr>
          <w:b/>
          <w:bCs/>
        </w:rPr>
        <w:t xml:space="preserve">How is Elo performing against its mid-single-digit growth target, and what synergies have been realized?</w:t>
      </w:r>
    </w:p>
    <w:p>
      <w:pPr>
        <w:pStyle w:val="Compact"/>
        <w:numPr>
          <w:ilvl w:val="0"/>
          <w:numId w:val="1015"/>
        </w:numPr>
      </w:pPr>
      <w:r>
        <w:rPr>
          <w:b/>
          <w:bCs/>
        </w:rPr>
        <w:t xml:space="preserve">What is the outlook for adjusted gross margin in Q3 and Q4 as memory costs and pricing flow through?</w:t>
      </w:r>
    </w:p>
    <w:p>
      <w:pPr>
        <w:pStyle w:val="Compact"/>
        <w:numPr>
          <w:ilvl w:val="0"/>
          <w:numId w:val="1015"/>
        </w:numPr>
      </w:pPr>
      <w:r>
        <w:rPr>
          <w:b/>
          <w:bCs/>
        </w:rPr>
        <w:t xml:space="preserve">How much stock was repurchased during Q2, and will capital allocation shift toward debt reduction?</w:t>
      </w:r>
    </w:p>
    <w:p>
      <w:pPr>
        <w:pStyle w:val="Compact"/>
        <w:numPr>
          <w:ilvl w:val="0"/>
          <w:numId w:val="1015"/>
        </w:numPr>
      </w:pPr>
      <w:r>
        <w:rPr>
          <w:b/>
          <w:bCs/>
        </w:rPr>
        <w:t xml:space="preserve">Has the company recognized—or gained greater confidence in recovering—any of the approximately $75 million of prior tariff payments?</w:t>
      </w:r>
    </w:p>
    <w:bookmarkEnd w:id="29"/>
    <w:bookmarkStart w:id="30" w:name="bottom-line"/>
    <w:p>
      <w:pPr>
        <w:pStyle w:val="Heading2"/>
      </w:pPr>
      <w:r>
        <w:t xml:space="preserve">Bottom line</w:t>
      </w:r>
    </w:p>
    <w:p>
      <w:pPr>
        <w:pStyle w:val="FirstParagraph"/>
      </w:pPr>
      <w:r>
        <w:t xml:space="preserve">The Q2 numerical hurdle appears achievable based on Zebra’s strong Q1 backlog, manufacturing momentum and acquisition contribution. The larger debate is not whether reported revenue grows in the mid-teens; acquisitions and FX should make that likely. It is whether the</w:t>
      </w:r>
      <w:r>
        <w:t xml:space="preserve"> </w:t>
      </w:r>
      <w:r>
        <w:rPr>
          <w:b/>
          <w:bCs/>
        </w:rPr>
        <w:t xml:space="preserve">core business is sustaining mid-single-digit growth while Zebra protects margins from memory inflation</w:t>
      </w:r>
      <w:r>
        <w:t xml:space="preserve">.</w:t>
      </w:r>
    </w:p>
    <w:p>
      <w:pPr>
        <w:pStyle w:val="BodyText"/>
      </w:pPr>
      <w:r>
        <w:t xml:space="preserve">The best outcome would pair organic growth near the upper end of the implied range with stronger component availability and a full-year guidance raise. A simple in-line quarter with unchanged guidance would still support the fundamental recovery, but after the stock’s roughly 34% rise since the prior report, it may not be enough to drive substantial additional upside.</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2026-08-04T00:52:33Z</dcterms:created>
  <dcterms:modified xsi:type="dcterms:W3CDTF">2026-08-04T00:52:33Z</dcterms:modified>
</cp:coreProperties>
</file>

<file path=docProps/custom.xml><?xml version="1.0" encoding="utf-8"?>
<Properties xmlns="http://schemas.openxmlformats.org/officeDocument/2006/custom-properties" xmlns:vt="http://schemas.openxmlformats.org/officeDocument/2006/docPropsVTypes"/>
</file>