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ee7c42630793dd91d6b441aaefab7c35cd975e"/>
    <w:p>
      <w:pPr>
        <w:pStyle w:val="Heading1"/>
      </w:pPr>
      <w:r>
        <w:t xml:space="preserve">Zebra Technologies (NASDAQ: ZBRA) — 2Q26 Earnings Preview</w:t>
      </w:r>
    </w:p>
    <w:p>
      <w:pPr>
        <w:pStyle w:val="BlockText"/>
      </w:pPr>
      <w:r>
        <w:rPr>
          <w:b/>
          <w:bCs/>
        </w:rPr>
        <w:t xml:space="preserve">Timing correction:</w:t>
      </w:r>
      <w:r>
        <w:t xml:space="preserve"> </w:t>
      </w:r>
      <w:r>
        <w:t xml:space="preserve">Zebra is scheduled to report</w:t>
      </w:r>
      <w:r>
        <w:t xml:space="preserve"> </w:t>
      </w:r>
      <w:r>
        <w:rPr>
          <w:b/>
          <w:bCs/>
        </w:rPr>
        <w:t xml:space="preserve">second-quarter 2026 results on Tuesday, August 4, 2026, at 8:30 a.m. ET</w:t>
      </w:r>
      <w:r>
        <w:t xml:space="preserve">—i.e.,</w:t>
      </w:r>
      <w:r>
        <w:t xml:space="preserve"> </w:t>
      </w:r>
      <w:r>
        <w:rPr>
          <w:b/>
          <w:bCs/>
        </w:rPr>
        <w:t xml:space="preserve">today</w:t>
      </w:r>
      <w:r>
        <w:t xml:space="preserve">, not tomorrow. This preview is based on information available ahead of the release.</w:t>
      </w:r>
    </w:p>
    <w:bookmarkStart w:id="9" w:name="X0a82bd32c8e59afae6ab6dbfe6990a6286b6595"/>
    <w:p>
      <w:pPr>
        <w:pStyle w:val="Heading2"/>
      </w:pPr>
      <w:r>
        <w:t xml:space="preserve">The setup: strong demand, but the bar has moved higher</w:t>
      </w:r>
    </w:p>
    <w:p>
      <w:pPr>
        <w:pStyle w:val="FirstParagraph"/>
      </w:pPr>
      <w:r>
        <w:t xml:space="preserve">Zebra enters 2Q with substantial operating momentum. In 1Q26, revenue rose</w:t>
      </w:r>
      <w:r>
        <w:t xml:space="preserve"> </w:t>
      </w:r>
      <w:r>
        <w:rPr>
          <w:b/>
          <w:bCs/>
        </w:rPr>
        <w:t xml:space="preserve">14.3%</w:t>
      </w:r>
      <w:r>
        <w:t xml:space="preserve"> </w:t>
      </w:r>
      <w:r>
        <w:t xml:space="preserve">year over year to</w:t>
      </w:r>
      <w:r>
        <w:t xml:space="preserve"> </w:t>
      </w:r>
      <m:oMath>
        <m:r>
          <m:t>1.495</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rPr>
            <m:sty m:val="p"/>
          </m:rPr>
          <m:t>*</m:t>
        </m:r>
        <m:r>
          <m:rPr>
            <m:sty m:val="p"/>
          </m:rPr>
          <m:t>*</m:t>
        </m:r>
        <m:r>
          <m:t>4.3</m:t>
        </m:r>
      </m:oMath>
      <w:r>
        <w:rPr>
          <w:b/>
          <w:bCs/>
        </w:rPr>
        <w:t xml:space="preserve">4.75</w:t>
      </w:r>
      <w:r>
        <w:t xml:space="preserve">. Management characterized demand as broad-based across regions and both operating segments, with particular strength in manufacturing, mobile computing, printing, machine vision, retail/e-commerce, and healthcare.</w:t>
      </w:r>
    </w:p>
    <w:p>
      <w:pPr>
        <w:pStyle w:val="BodyText"/>
      </w:pPr>
      <w:r>
        <w:t xml:space="preserve">The key complication is that reported growth overstates the underlying organic cadence: acquisitions—principally Elo Touch—and FX accounted for a large portion of the 1Q growth. That distinction matters for 2Q, where the central debate is likely to be whether Zebra can sustain mid-single-digit organic growth while absorbing higher memory costs and navigating supply constraints.</w:t>
      </w:r>
    </w:p>
    <w:p>
      <w:pPr>
        <w:pStyle w:val="BodyText"/>
      </w:pPr>
      <w:r>
        <w:t xml:space="preserve">The stock has already reflected a good deal of optimism. ZBRA closed at</w:t>
      </w:r>
      <w:r>
        <w:t xml:space="preserve"> </w:t>
      </w:r>
      <w:r>
        <w:rPr>
          <w:b/>
          <w:bCs/>
        </w:rPr>
        <w:t xml:space="preserve">$291.68 on August 3</w:t>
      </w:r>
      <w:r>
        <w:t xml:space="preserve">, up roughly</w:t>
      </w:r>
      <w:r>
        <w:t xml:space="preserve"> </w:t>
      </w:r>
      <w:r>
        <w:rPr>
          <w:b/>
          <w:bCs/>
        </w:rPr>
        <w:t xml:space="preserve">34% since May 11</w:t>
      </w:r>
      <w:r>
        <w:t xml:space="preserve"> </w:t>
      </w:r>
      <w:r>
        <w:t xml:space="preserve">and nearly</w:t>
      </w:r>
      <w:r>
        <w:t xml:space="preserve"> </w:t>
      </w:r>
      <w:r>
        <w:rPr>
          <w:b/>
          <w:bCs/>
        </w:rPr>
        <w:t xml:space="preserve">11% since June 30</w:t>
      </w:r>
      <w:r>
        <w:t xml:space="preserve">. A simple in-line quarter may therefore be insufficient; investors will likely focus most on the quality of demand, margins, and the durability of the full-year outlook.</w:t>
      </w:r>
    </w:p>
    <w:p>
      <w:r>
        <w:pict>
          <v:rect style="width:0;height:1.5pt" o:hralign="center" o:hrstd="t" o:hr="t"/>
        </w:pict>
      </w:r>
    </w:p>
    <w:bookmarkEnd w:id="9"/>
    <w:bookmarkStart w:id="10" w:name="what-zebra-guided-for-2q26"/>
    <w:p>
      <w:pPr>
        <w:pStyle w:val="Heading2"/>
      </w:pPr>
      <w:r>
        <w:t xml:space="preserve">What Zebra guided for 2Q26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Company outlook</w:t>
            </w:r>
          </w:p>
        </w:tc>
        <w:tc>
          <w:tcPr/>
          <w:p>
            <w:pPr>
              <w:pStyle w:val="Compact"/>
              <w:jc w:val="right"/>
            </w:pPr>
            <w:r>
              <w:t xml:space="preserve">Implied comparison</w:t>
            </w:r>
          </w:p>
        </w:tc>
      </w:tr>
      <w:tr>
        <w:tc>
          <w:tcPr/>
          <w:p>
            <w:pPr>
              <w:pStyle w:val="Compact"/>
            </w:pPr>
            <w:r>
              <w:t xml:space="preserve">Revenue growth</w:t>
            </w:r>
          </w:p>
        </w:tc>
        <w:tc>
          <w:tcPr/>
          <w:p>
            <w:pPr>
              <w:pStyle w:val="Compact"/>
              <w:jc w:val="right"/>
            </w:pPr>
            <w:r>
              <w:rPr>
                <w:b/>
                <w:bCs/>
              </w:rPr>
              <w:t xml:space="preserve">+14% to +17% YoY</w:t>
            </w:r>
          </w:p>
        </w:tc>
        <w:tc>
          <w:tcPr/>
          <w:p>
            <w:pPr>
              <w:pStyle w:val="Compact"/>
              <w:jc w:val="right"/>
            </w:pPr>
            <w:r>
              <w:t xml:space="preserve">Implies approximately</w:t>
            </w:r>
            <w:r>
              <w:t xml:space="preserve"> </w:t>
            </w:r>
            <m:oMath>
              <m:r>
                <m:t>1.474</m:t>
              </m:r>
              <m:r>
                <m:t>B</m:t>
              </m:r>
              <m:r>
                <m:rPr>
                  <m:sty m:val="p"/>
                </m:rPr>
                <m:t>–</m:t>
              </m:r>
            </m:oMath>
            <w:r>
              <w:rPr>
                <w:b/>
                <w:bCs/>
              </w:rPr>
              <w:t xml:space="preserve">1.513B</w:t>
            </w:r>
            <w:r>
              <w:t xml:space="preserve"> </w:t>
            </w:r>
            <w:r>
              <w:t xml:space="preserve">of revenue, based on 2Q25 revenue of $1.293B.</w:t>
            </w:r>
          </w:p>
        </w:tc>
      </w:tr>
      <w:tr>
        <w:tc>
          <w:tcPr/>
          <w:p>
            <w:pPr>
              <w:pStyle w:val="Compact"/>
            </w:pPr>
            <w:r>
              <w:t xml:space="preserve">Organic and underlying growth</w:t>
            </w:r>
          </w:p>
        </w:tc>
        <w:tc>
          <w:tcPr/>
          <w:p>
            <w:pPr>
              <w:pStyle w:val="Compact"/>
              <w:jc w:val="right"/>
            </w:pPr>
            <w:r>
              <w:t xml:space="preserve">Roughly</w:t>
            </w:r>
            <w:r>
              <w:t xml:space="preserve"> </w:t>
            </w:r>
            <w:r>
              <w:rPr>
                <w:b/>
                <w:bCs/>
              </w:rPr>
              <w:t xml:space="preserve">3.5%–6.5%</w:t>
            </w:r>
            <w:r>
              <w:t xml:space="preserve"> </w:t>
            </w:r>
            <w:r>
              <w:t xml:space="preserve">implied</w:t>
            </w:r>
          </w:p>
        </w:tc>
        <w:tc>
          <w:tcPr/>
          <w:p>
            <w:pPr>
              <w:pStyle w:val="Compact"/>
              <w:jc w:val="right"/>
            </w:pPr>
            <w:r>
              <w:t xml:space="preserve">Reported guide includes about</w:t>
            </w:r>
            <w:r>
              <w:t xml:space="preserve"> </w:t>
            </w:r>
            <w:r>
              <w:rPr>
                <w:b/>
                <w:bCs/>
              </w:rPr>
              <w:t xml:space="preserve">10.5 points</w:t>
            </w:r>
            <w:r>
              <w:t xml:space="preserve"> </w:t>
            </w:r>
            <w:r>
              <w:t xml:space="preserve">from acquisitions and favorable FX</w:t>
            </w:r>
          </w:p>
        </w:tc>
      </w:tr>
      <w:tr>
        <w:tc>
          <w:tcPr/>
          <w:p>
            <w:pPr>
              <w:pStyle w:val="Compact"/>
            </w:pPr>
            <w:r>
              <w:t xml:space="preserve">Adjusted EBITDA margin</w:t>
            </w:r>
          </w:p>
        </w:tc>
        <w:tc>
          <w:tcPr/>
          <w:p>
            <w:pPr>
              <w:pStyle w:val="Compact"/>
              <w:jc w:val="right"/>
            </w:pPr>
            <w:r>
              <w:rPr>
                <w:b/>
                <w:bCs/>
              </w:rPr>
              <w:t xml:space="preserve">Slightly above 21%</w:t>
            </w:r>
          </w:p>
        </w:tc>
        <w:tc>
          <w:tcPr/>
          <w:p>
            <w:pPr>
              <w:pStyle w:val="Compact"/>
              <w:jc w:val="right"/>
            </w:pPr>
            <w:r>
              <w:t xml:space="preserve">Down sequentially from the unusually strong</w:t>
            </w:r>
            <w:r>
              <w:t xml:space="preserve"> </w:t>
            </w:r>
            <w:r>
              <w:rPr>
                <w:b/>
                <w:bCs/>
              </w:rPr>
              <w:t xml:space="preserve">23.2%</w:t>
            </w:r>
            <w:r>
              <w:t xml:space="preserve"> </w:t>
            </w:r>
            <w:r>
              <w:t xml:space="preserve">in 1Q</w:t>
            </w:r>
          </w:p>
        </w:tc>
      </w:tr>
      <w:tr>
        <w:tc>
          <w:tcPr/>
          <w:p>
            <w:pPr>
              <w:pStyle w:val="Compact"/>
            </w:pPr>
            <w:r>
              <w:t xml:space="preserve">Non-GAAP diluted EPS</w:t>
            </w:r>
          </w:p>
        </w:tc>
        <w:tc>
          <w:tcPr/>
          <w:p>
            <w:pPr>
              <w:pStyle w:val="Compact"/>
              <w:jc w:val="right"/>
            </w:pPr>
            <m:oMath>
              <m:r>
                <m:t>4.20</m:t>
              </m:r>
              <m:r>
                <m:rPr>
                  <m:sty m:val="p"/>
                </m:rPr>
                <m:t>–</m:t>
              </m:r>
            </m:oMath>
            <w:r>
              <w:rPr>
                <w:b/>
                <w:bCs/>
              </w:rPr>
              <w:t xml:space="preserve">4.50</w:t>
            </w:r>
          </w:p>
        </w:tc>
        <w:tc>
          <w:tcPr/>
          <w:p>
            <w:pPr>
              <w:pStyle w:val="Compact"/>
              <w:jc w:val="right"/>
            </w:pPr>
            <w:r>
              <w:t xml:space="preserve">Up approximately</w:t>
            </w:r>
            <w:r>
              <w:t xml:space="preserve"> </w:t>
            </w:r>
            <w:r>
              <w:rPr>
                <w:b/>
                <w:bCs/>
              </w:rPr>
              <w:t xml:space="preserve">16%–25% YoY</w:t>
            </w:r>
            <w:r>
              <w:t xml:space="preserve"> </w:t>
            </w:r>
            <w:r>
              <w:t xml:space="preserve">versus 2Q25 non-GAAP EPS of $3.61.</w:t>
            </w:r>
          </w:p>
        </w:tc>
      </w:tr>
      <w:tr>
        <w:tc>
          <w:tcPr/>
          <w:p>
            <w:pPr>
              <w:pStyle w:val="Compact"/>
            </w:pPr>
            <w:r>
              <w:t xml:space="preserve">Adjusted tax rate</w:t>
            </w:r>
          </w:p>
        </w:tc>
        <w:tc>
          <w:tcPr/>
          <w:p>
            <w:pPr>
              <w:pStyle w:val="Compact"/>
              <w:jc w:val="right"/>
            </w:pPr>
            <w:r>
              <w:t xml:space="preserve">~</w:t>
            </w:r>
            <w:r>
              <w:rPr>
                <w:b/>
                <w:bCs/>
              </w:rPr>
              <w:t xml:space="preserve">19%</w:t>
            </w:r>
          </w:p>
        </w:tc>
        <w:tc>
          <w:tcPr/>
          <w:p>
            <w:pPr>
              <w:pStyle w:val="Compact"/>
              <w:jc w:val="right"/>
            </w:pPr>
            <w:r>
              <w:t xml:space="preserve">Important modeling input</w:t>
            </w:r>
          </w:p>
        </w:tc>
      </w:tr>
      <w:tr>
        <w:tc>
          <w:tcPr/>
          <w:p>
            <w:pPr>
              <w:pStyle w:val="Compact"/>
            </w:pPr>
            <w:r>
              <w:t xml:space="preserve">Full-year non-GAAP EPS</w:t>
            </w:r>
          </w:p>
        </w:tc>
        <w:tc>
          <w:tcPr/>
          <w:p>
            <w:pPr>
              <w:pStyle w:val="Compact"/>
              <w:jc w:val="right"/>
            </w:pPr>
            <m:oMath>
              <m:r>
                <m:t>18.30</m:t>
              </m:r>
              <m:r>
                <m:rPr>
                  <m:sty m:val="p"/>
                </m:rPr>
                <m:t>–</m:t>
              </m:r>
            </m:oMath>
            <w:r>
              <w:rPr>
                <w:b/>
                <w:bCs/>
              </w:rPr>
              <w:t xml:space="preserve">18.70</w:t>
            </w:r>
          </w:p>
        </w:tc>
        <w:tc>
          <w:tcPr/>
          <w:p>
            <w:pPr>
              <w:pStyle w:val="Compact"/>
              <w:jc w:val="right"/>
            </w:pPr>
            <w:r>
              <w:t xml:space="preserve">Raised after 1Q</w:t>
            </w:r>
          </w:p>
        </w:tc>
      </w:tr>
      <w:tr>
        <w:tc>
          <w:tcPr/>
          <w:p>
            <w:pPr>
              <w:pStyle w:val="Compact"/>
            </w:pPr>
            <w:r>
              <w:t xml:space="preserve">Full-year FCF</w:t>
            </w:r>
          </w:p>
        </w:tc>
        <w:tc>
          <w:tcPr/>
          <w:p>
            <w:pPr>
              <w:pStyle w:val="Compact"/>
              <w:jc w:val="right"/>
            </w:pPr>
            <w:r>
              <w:rPr>
                <w:b/>
                <w:bCs/>
              </w:rPr>
              <w:t xml:space="preserve">More than $900M</w:t>
            </w:r>
          </w:p>
        </w:tc>
        <w:tc>
          <w:tcPr/>
          <w:p>
            <w:pPr>
              <w:pStyle w:val="Compact"/>
              <w:jc w:val="right"/>
            </w:pPr>
            <w:r>
              <w:t xml:space="preserve">Management targets roughly 100% conversion</w:t>
            </w:r>
          </w:p>
        </w:tc>
      </w:tr>
    </w:tbl>
    <w:p>
      <w:pPr>
        <w:pStyle w:val="BodyText"/>
      </w:pPr>
      <w:r>
        <w:rPr>
          <w:b/>
          <w:bCs/>
        </w:rPr>
        <w:t xml:space="preserve">Important framing:</w:t>
      </w:r>
      <w:r>
        <w:t xml:space="preserve"> </w:t>
      </w:r>
      <w:r>
        <w:t xml:space="preserve">Zebra’s 2Q revenue midpoint of about $1.49 billion is essentially flat sequentially versus 1Q’s $1.495 billion, despite normal seasonal progression. That puts a premium on margins and on evidence that the company’s demand pipeline is being constrained by component availability rather than weakening end-market demand.</w:t>
      </w:r>
    </w:p>
    <w:p>
      <w:r>
        <w:pict>
          <v:rect style="width:0;height:1.5pt" o:hralign="center" o:hrstd="t" o:hr="t"/>
        </w:pict>
      </w:r>
    </w:p>
    <w:bookmarkEnd w:id="10"/>
    <w:bookmarkStart w:id="11" w:name="the-three-issues-that-matter-most"/>
    <w:p>
      <w:pPr>
        <w:pStyle w:val="Heading2"/>
      </w:pPr>
      <w:r>
        <w:t xml:space="preserve">The three issues that matter most</w:t>
      </w:r>
    </w:p>
    <w:bookmarkEnd w:id="11"/>
    <w:bookmarkStart w:id="12" w:name="Xd53de3b60f2dfc567a052c99224a3589a3147ef"/>
    <w:p>
      <w:pPr>
        <w:pStyle w:val="Heading2"/>
      </w:pPr>
      <w:r>
        <w:t xml:space="preserve">1. Organic growth quality: can Zebra hold mid-single-digit growth?</w:t>
      </w:r>
    </w:p>
    <w:p>
      <w:pPr>
        <w:pStyle w:val="FirstParagraph"/>
      </w:pPr>
      <w:r>
        <w:t xml:space="preserve">The cleanest positive signal in 1Q was broad demand rather than a single-product or single-region spike:</w:t>
      </w:r>
    </w:p>
    <w:p>
      <w:pPr>
        <w:pStyle w:val="Compact"/>
        <w:numPr>
          <w:ilvl w:val="0"/>
          <w:numId w:val="1001"/>
        </w:numPr>
      </w:pPr>
      <w:r>
        <w:rPr>
          <w:b/>
          <w:bCs/>
        </w:rPr>
        <w:t xml:space="preserve">Connected Frontline (CF)</w:t>
      </w:r>
      <w:r>
        <w:t xml:space="preserve"> </w:t>
      </w:r>
      <w:r>
        <w:t xml:space="preserve">organic revenue grew</w:t>
      </w:r>
      <w:r>
        <w:t xml:space="preserve"> </w:t>
      </w:r>
      <w:r>
        <w:rPr>
          <w:b/>
          <w:bCs/>
        </w:rPr>
        <w:t xml:space="preserve">3.8%</w:t>
      </w:r>
      <w:r>
        <w:t xml:space="preserve">, led by mobile computing.</w:t>
      </w:r>
    </w:p>
    <w:p>
      <w:pPr>
        <w:pStyle w:val="Compact"/>
        <w:numPr>
          <w:ilvl w:val="0"/>
          <w:numId w:val="1001"/>
        </w:numPr>
      </w:pPr>
      <w:r>
        <w:rPr>
          <w:b/>
          <w:bCs/>
        </w:rPr>
        <w:t xml:space="preserve">Asset Visibility &amp; Automation (AVA)</w:t>
      </w:r>
      <w:r>
        <w:t xml:space="preserve"> </w:t>
      </w:r>
      <w:r>
        <w:t xml:space="preserve">organic revenue grew</w:t>
      </w:r>
      <w:r>
        <w:t xml:space="preserve"> </w:t>
      </w:r>
      <w:r>
        <w:rPr>
          <w:b/>
          <w:bCs/>
        </w:rPr>
        <w:t xml:space="preserve">4.8%</w:t>
      </w:r>
      <w:r>
        <w:t xml:space="preserve">, led by printing and machine vision.</w:t>
      </w:r>
    </w:p>
    <w:p>
      <w:pPr>
        <w:pStyle w:val="Compact"/>
        <w:numPr>
          <w:ilvl w:val="0"/>
          <w:numId w:val="1001"/>
        </w:numPr>
      </w:pPr>
      <w:r>
        <w:t xml:space="preserve">Management cited strength across North America, Europe, India, Southeast Asia, and Latin America.</w:t>
      </w:r>
    </w:p>
    <w:p>
      <w:pPr>
        <w:pStyle w:val="Compact"/>
        <w:numPr>
          <w:ilvl w:val="0"/>
          <w:numId w:val="1001"/>
        </w:numPr>
      </w:pPr>
      <w:r>
        <w:t xml:space="preserve">Manufacturing was especially strong, including semiconductor, auto, quality-control, fixed-industrial-scanning, and machine-vision applications.</w:t>
      </w:r>
    </w:p>
    <w:p>
      <w:pPr>
        <w:pStyle w:val="FirstParagraph"/>
      </w:pPr>
      <w:r>
        <w:t xml:space="preserve">For 2Q, investors should look for confirmation that this breadth continued. In particular:</w:t>
      </w:r>
    </w:p>
    <w:p>
      <w:pPr>
        <w:pStyle w:val="Compact"/>
        <w:numPr>
          <w:ilvl w:val="0"/>
          <w:numId w:val="1002"/>
        </w:numPr>
      </w:pPr>
      <w:r>
        <w:rPr>
          <w:b/>
          <w:bCs/>
        </w:rPr>
        <w:t xml:space="preserve">Manufacturing:</w:t>
      </w:r>
      <w:r>
        <w:t xml:space="preserve"> </w:t>
      </w:r>
      <w:r>
        <w:t xml:space="preserve">The most important near-term organic growth lever. Continued strength would support the view that the business is benefiting from industrial automation and supply-chain visibility investments rather than merely replacement demand.</w:t>
      </w:r>
    </w:p>
    <w:p>
      <w:pPr>
        <w:pStyle w:val="Compact"/>
        <w:numPr>
          <w:ilvl w:val="0"/>
          <w:numId w:val="1002"/>
        </w:numPr>
      </w:pPr>
      <w:r>
        <w:rPr>
          <w:b/>
          <w:bCs/>
        </w:rPr>
        <w:t xml:space="preserve">Machine vision:</w:t>
      </w:r>
      <w:r>
        <w:t xml:space="preserve"> </w:t>
      </w:r>
      <w:r>
        <w:t xml:space="preserve">Management called 1Q an inflection point and expects double-digit growth for the full year. Sustained growth here would improve confidence in Zebra’s higher-growth automation positioning.</w:t>
      </w:r>
    </w:p>
    <w:p>
      <w:pPr>
        <w:pStyle w:val="Compact"/>
        <w:numPr>
          <w:ilvl w:val="0"/>
          <w:numId w:val="1002"/>
        </w:numPr>
      </w:pPr>
      <w:r>
        <w:rPr>
          <w:b/>
          <w:bCs/>
        </w:rPr>
        <w:t xml:space="preserve">Retail/e-commerce and healthcare:</w:t>
      </w:r>
      <w:r>
        <w:t xml:space="preserve"> </w:t>
      </w:r>
      <w:r>
        <w:t xml:space="preserve">These are important demand stabilizers for mobile computing, workflow software, scanners, RFID, printers, and self-service products.</w:t>
      </w:r>
    </w:p>
    <w:p>
      <w:pPr>
        <w:pStyle w:val="Compact"/>
        <w:numPr>
          <w:ilvl w:val="0"/>
          <w:numId w:val="1002"/>
        </w:numPr>
      </w:pPr>
      <w:r>
        <w:rPr>
          <w:b/>
          <w:bCs/>
        </w:rPr>
        <w:t xml:space="preserve">Transportation and logistics:</w:t>
      </w:r>
      <w:r>
        <w:t xml:space="preserve"> </w:t>
      </w:r>
      <w:r>
        <w:t xml:space="preserve">Near-term comparisons may be less favorable because large refresh programs are expected to become more meaningful in</w:t>
      </w:r>
      <w:r>
        <w:t xml:space="preserve"> </w:t>
      </w:r>
      <w:r>
        <w:rPr>
          <w:b/>
          <w:bCs/>
        </w:rPr>
        <w:t xml:space="preserve">2027</w:t>
      </w:r>
      <w:r>
        <w:t xml:space="preserve">, not 2026. A maintained or improved outlook for that pipeline would be constructive even if current-quarter revenue is ordinary.</w:t>
      </w:r>
    </w:p>
    <w:p>
      <w:pPr>
        <w:pStyle w:val="FirstParagraph"/>
      </w:pPr>
      <w:r>
        <w:rPr>
          <w:b/>
          <w:bCs/>
        </w:rPr>
        <w:t xml:space="preserve">What would disappoint:</w:t>
      </w:r>
      <w:r>
        <w:t xml:space="preserve"> </w:t>
      </w:r>
      <w:r>
        <w:t xml:space="preserve">organic growth below the implied range, a notable slowing in mobile computing or printing, or evidence that constrained memory supply is reducing shipments rather than merely limiting upside.</w:t>
      </w:r>
    </w:p>
    <w:p>
      <w:r>
        <w:pict>
          <v:rect style="width:0;height:1.5pt" o:hralign="center" o:hrstd="t" o:hr="t"/>
        </w:pict>
      </w:r>
    </w:p>
    <w:bookmarkEnd w:id="12"/>
    <w:bookmarkStart w:id="13" w:name="X6a335ef4dfcd0e104c879459c52caa654c625e6"/>
    <w:p>
      <w:pPr>
        <w:pStyle w:val="Heading2"/>
      </w:pPr>
      <w:r>
        <w:t xml:space="preserve">2. Margin performance: memory costs are the near-term swing factor</w:t>
      </w:r>
    </w:p>
    <w:p>
      <w:pPr>
        <w:pStyle w:val="FirstParagraph"/>
      </w:pPr>
      <w:r>
        <w:t xml:space="preserve">Zebra’s margin story is unusually important this quarter. In 1Q, adjusted EBITDA margin reached</w:t>
      </w:r>
      <w:r>
        <w:t xml:space="preserve"> </w:t>
      </w:r>
      <w:r>
        <w:rPr>
          <w:b/>
          <w:bCs/>
        </w:rPr>
        <w:t xml:space="preserve">23.2%</w:t>
      </w:r>
      <w:r>
        <w:t xml:space="preserve">, helped by favorable mix, FX, productivity actions, and operating leverage. But management explicitly guided 2Q EBITDA margin to</w:t>
      </w:r>
      <w:r>
        <w:t xml:space="preserve"> </w:t>
      </w:r>
      <w:r>
        <w:rPr>
          <w:b/>
          <w:bCs/>
        </w:rPr>
        <w:t xml:space="preserve">slightly above 21%</w:t>
      </w:r>
      <w:r>
        <w:t xml:space="preserve">.</w:t>
      </w:r>
    </w:p>
    <w:p>
      <w:pPr>
        <w:pStyle w:val="BodyText"/>
      </w:pPr>
      <w:r>
        <w:t xml:space="preserve">The expected sequential decline is not necessarily a sign of weaker execution. Zebra explained that:</w:t>
      </w:r>
    </w:p>
    <w:p>
      <w:pPr>
        <w:pStyle w:val="Compact"/>
        <w:numPr>
          <w:ilvl w:val="0"/>
          <w:numId w:val="1003"/>
        </w:numPr>
      </w:pPr>
      <w:r>
        <w:t xml:space="preserve">About</w:t>
      </w:r>
      <w:r>
        <w:t xml:space="preserve"> </w:t>
      </w:r>
      <w:r>
        <w:rPr>
          <w:b/>
          <w:bCs/>
        </w:rPr>
        <w:t xml:space="preserve">150 basis points</w:t>
      </w:r>
      <w:r>
        <w:t xml:space="preserve"> </w:t>
      </w:r>
      <w:r>
        <w:t xml:space="preserve">of the expected sequential decline from 1Q to 2Q was tied to higher memory costs.</w:t>
      </w:r>
    </w:p>
    <w:p>
      <w:pPr>
        <w:pStyle w:val="Compact"/>
        <w:numPr>
          <w:ilvl w:val="0"/>
          <w:numId w:val="1003"/>
        </w:numPr>
      </w:pPr>
      <w:r>
        <w:t xml:space="preserve">The balance reflected a normalization of favorable 1Q deal mix.</w:t>
      </w:r>
    </w:p>
    <w:p>
      <w:pPr>
        <w:pStyle w:val="Compact"/>
        <w:numPr>
          <w:ilvl w:val="0"/>
          <w:numId w:val="1003"/>
        </w:numPr>
      </w:pPr>
      <w:r>
        <w:t xml:space="preserve">Management expects memory costs to continue stepping up modestly through the second half, but has stated that price increases, cost actions, restructuring savings, FX, and volume leverage should</w:t>
      </w:r>
      <w:r>
        <w:t xml:space="preserve"> </w:t>
      </w:r>
      <w:r>
        <w:rPr>
          <w:b/>
          <w:bCs/>
        </w:rPr>
        <w:t xml:space="preserve">fully offset</w:t>
      </w:r>
      <w:r>
        <w:t xml:space="preserve"> </w:t>
      </w:r>
      <w:r>
        <w:t xml:space="preserve">the estimated full-year impact.</w:t>
      </w:r>
    </w:p>
    <w:p>
      <w:pPr>
        <w:pStyle w:val="FirstParagraph"/>
      </w:pPr>
      <w:r>
        <w:t xml:space="preserve">This makes the report a test of two claims:</w:t>
      </w:r>
    </w:p>
    <w:p>
      <w:pPr>
        <w:pStyle w:val="Compact"/>
        <w:numPr>
          <w:ilvl w:val="0"/>
          <w:numId w:val="1004"/>
        </w:numPr>
      </w:pPr>
      <w:r>
        <w:rPr>
          <w:b/>
          <w:bCs/>
        </w:rPr>
        <w:t xml:space="preserve">Supply:</w:t>
      </w:r>
      <w:r>
        <w:t xml:space="preserve"> </w:t>
      </w:r>
      <w:r>
        <w:t xml:space="preserve">Zebra has enough memory allocation to support its existing outlook.</w:t>
      </w:r>
    </w:p>
    <w:p>
      <w:pPr>
        <w:pStyle w:val="Compact"/>
        <w:numPr>
          <w:ilvl w:val="0"/>
          <w:numId w:val="1004"/>
        </w:numPr>
      </w:pPr>
      <w:r>
        <w:rPr>
          <w:b/>
          <w:bCs/>
        </w:rPr>
        <w:t xml:space="preserve">Economics:</w:t>
      </w:r>
      <w:r>
        <w:t xml:space="preserve"> </w:t>
      </w:r>
      <w:r>
        <w:t xml:space="preserve">the company can recover higher component costs without sacrificing its approximately</w:t>
      </w:r>
      <w:r>
        <w:t xml:space="preserve"> </w:t>
      </w:r>
      <w:r>
        <w:rPr>
          <w:b/>
          <w:bCs/>
        </w:rPr>
        <w:t xml:space="preserve">22% full-year adjusted EBITDA margin</w:t>
      </w:r>
      <w:r>
        <w:t xml:space="preserve"> </w:t>
      </w:r>
      <w:r>
        <w:t xml:space="preserve">target.</w:t>
      </w:r>
    </w:p>
    <w:p>
      <w:pPr>
        <w:pStyle w:val="FirstParagraph"/>
      </w:pPr>
      <w:r>
        <w:t xml:space="preserve">Zebra’s advantages include direct supplier relationships, alternative sourcing, engineering transitions toward higher-density memory products, and targeted price increases. Yet the risk is clear: if allocation worsens, component costs rise beyond expected contractual escalators, or price realization lags cost inflation, margins could become the principal downside surprise.</w:t>
      </w:r>
    </w:p>
    <w:p>
      <w:pPr>
        <w:pStyle w:val="BodyText"/>
      </w:pPr>
      <w:r>
        <w:rPr>
          <w:b/>
          <w:bCs/>
        </w:rPr>
        <w:t xml:space="preserve">What to watch:</w:t>
      </w:r>
      <w:r>
        <w:t xml:space="preserve"> </w:t>
      </w:r>
      <w:r>
        <w:t xml:space="preserve">adjusted gross margin, 2Q adjusted EBITDA margin versus the “slightly above 21%” guide, and any change in management’s assessment of the second-half memory environment.</w:t>
      </w:r>
    </w:p>
    <w:p>
      <w:r>
        <w:pict>
          <v:rect style="width:0;height:1.5pt" o:hralign="center" o:hrstd="t" o:hr="t"/>
        </w:pict>
      </w:r>
    </w:p>
    <w:bookmarkEnd w:id="13"/>
    <w:bookmarkStart w:id="14" w:name="X493598d3affcca6ecdedf66d93d99f60c6adf0e"/>
    <w:p>
      <w:pPr>
        <w:pStyle w:val="Heading2"/>
      </w:pPr>
      <w:r>
        <w:t xml:space="preserve">3. Elo integration and the acquisition-driven growth bridge</w:t>
      </w:r>
    </w:p>
    <w:p>
      <w:pPr>
        <w:pStyle w:val="FirstParagraph"/>
      </w:pPr>
      <w:r>
        <w:t xml:space="preserve">Elo Touch is a major driver of reported growth in 2026. In 1Q, Elo accounted for most of Connected Frontline’s gap between reported</w:t>
      </w:r>
      <w:r>
        <w:t xml:space="preserve"> </w:t>
      </w:r>
      <w:r>
        <w:rPr>
          <w:b/>
          <w:bCs/>
        </w:rPr>
        <w:t xml:space="preserve">20.6%</w:t>
      </w:r>
      <w:r>
        <w:t xml:space="preserve"> </w:t>
      </w:r>
      <w:r>
        <w:t xml:space="preserve">growth and organic</w:t>
      </w:r>
      <w:r>
        <w:t xml:space="preserve"> </w:t>
      </w:r>
      <w:r>
        <w:rPr>
          <w:b/>
          <w:bCs/>
        </w:rPr>
        <w:t xml:space="preserve">3.8%</w:t>
      </w:r>
      <w:r>
        <w:t xml:space="preserve"> </w:t>
      </w:r>
      <w:r>
        <w:t xml:space="preserve">growth.</w:t>
      </w:r>
    </w:p>
    <w:p>
      <w:pPr>
        <w:pStyle w:val="BodyText"/>
      </w:pPr>
      <w:r>
        <w:t xml:space="preserve">The acquisition appears to be tracking to plan:</w:t>
      </w:r>
    </w:p>
    <w:p>
      <w:pPr>
        <w:pStyle w:val="Compact"/>
        <w:numPr>
          <w:ilvl w:val="0"/>
          <w:numId w:val="1005"/>
        </w:numPr>
      </w:pPr>
      <w:r>
        <w:t xml:space="preserve">Management expects Elo to grow at a</w:t>
      </w:r>
      <w:r>
        <w:t xml:space="preserve"> </w:t>
      </w:r>
      <w:r>
        <w:rPr>
          <w:b/>
          <w:bCs/>
        </w:rPr>
        <w:t xml:space="preserve">mid-single-digit</w:t>
      </w:r>
      <w:r>
        <w:t xml:space="preserve"> </w:t>
      </w:r>
      <w:r>
        <w:t xml:space="preserve">rate in 2026.</w:t>
      </w:r>
    </w:p>
    <w:p>
      <w:pPr>
        <w:pStyle w:val="Compact"/>
        <w:numPr>
          <w:ilvl w:val="0"/>
          <w:numId w:val="1005"/>
        </w:numPr>
      </w:pPr>
      <w:r>
        <w:t xml:space="preserve">Zebra is pursuing both revenue and cost synergies.</w:t>
      </w:r>
    </w:p>
    <w:p>
      <w:pPr>
        <w:pStyle w:val="Compact"/>
        <w:numPr>
          <w:ilvl w:val="0"/>
          <w:numId w:val="1005"/>
        </w:numPr>
      </w:pPr>
      <w:r>
        <w:t xml:space="preserve">Early commercial progress includes wins in new geographies, including India.</w:t>
      </w:r>
    </w:p>
    <w:p>
      <w:pPr>
        <w:pStyle w:val="Compact"/>
        <w:numPr>
          <w:ilvl w:val="0"/>
          <w:numId w:val="1005"/>
        </w:numPr>
      </w:pPr>
      <w:r>
        <w:t xml:space="preserve">The product set expands Zebra’s relevance in point-of-sale modernization, self-service, interactive displays, manufacturing, and healthcare.</w:t>
      </w:r>
    </w:p>
    <w:p>
      <w:pPr>
        <w:pStyle w:val="FirstParagraph"/>
      </w:pPr>
      <w:r>
        <w:t xml:space="preserve">For investors, the issue is less whether Elo helps reported revenue—it clearly does—and more whether integration supports earnings quality. Positive indicators would include stable or improving CF margins, new cross-sell wins, and management confidence in synergy realization. Conversely, incremental integration costs, weaker-than-expected Elo growth, or pressure on the CF margin profile would raise concern that the acquisition is diluting returns.</w:t>
      </w:r>
    </w:p>
    <w:p>
      <w:r>
        <w:pict>
          <v:rect style="width:0;height:1.5pt" o:hralign="center" o:hrstd="t" o:hr="t"/>
        </w:pict>
      </w:r>
    </w:p>
    <w:bookmarkEnd w:id="14"/>
    <w:bookmarkStart w:id="15" w:name="X462a6ab4135222a6398d58d624db45a959f6467"/>
    <w:p>
      <w:pPr>
        <w:pStyle w:val="Heading2"/>
      </w:pPr>
      <w:r>
        <w:t xml:space="preserve">Why full-year guidance is likely more important than the quarter</w:t>
      </w:r>
    </w:p>
    <w:p>
      <w:pPr>
        <w:pStyle w:val="FirstParagraph"/>
      </w:pPr>
      <w:r>
        <w:t xml:space="preserve">After 1Q, Zebra raised its 2026 outlook to:</w:t>
      </w:r>
    </w:p>
    <w:p>
      <w:pPr>
        <w:pStyle w:val="Compact"/>
        <w:numPr>
          <w:ilvl w:val="0"/>
          <w:numId w:val="1006"/>
        </w:numPr>
      </w:pPr>
      <w:r>
        <w:rPr>
          <w:b/>
          <w:bCs/>
        </w:rPr>
        <w:t xml:space="preserve">10%–14% reported revenue growth</w:t>
      </w:r>
    </w:p>
    <w:p>
      <w:pPr>
        <w:pStyle w:val="Compact"/>
        <w:numPr>
          <w:ilvl w:val="0"/>
          <w:numId w:val="1006"/>
        </w:numPr>
      </w:pPr>
      <w:r>
        <w:t xml:space="preserve">Approximately</w:t>
      </w:r>
      <w:r>
        <w:t xml:space="preserve"> </w:t>
      </w:r>
      <w:r>
        <w:rPr>
          <w:b/>
          <w:bCs/>
        </w:rPr>
        <w:t xml:space="preserve">22% adjusted EBITDA margin</w:t>
      </w:r>
    </w:p>
    <w:p>
      <w:pPr>
        <w:pStyle w:val="Compact"/>
        <w:numPr>
          <w:ilvl w:val="0"/>
          <w:numId w:val="1006"/>
        </w:numPr>
      </w:pPr>
      <m:oMath>
        <m:r>
          <m:t>18.30</m:t>
        </m:r>
        <m:r>
          <m:rPr>
            <m:sty m:val="p"/>
          </m:rPr>
          <m:t>–</m:t>
        </m:r>
      </m:oMath>
      <w:r>
        <w:rPr>
          <w:b/>
          <w:bCs/>
        </w:rPr>
        <w:t xml:space="preserve">18.70</w:t>
      </w:r>
      <w:r>
        <w:t xml:space="preserve"> </w:t>
      </w:r>
      <w:r>
        <w:t xml:space="preserve">non-GAAP EPS</w:t>
      </w:r>
    </w:p>
    <w:p>
      <w:pPr>
        <w:pStyle w:val="Compact"/>
        <w:numPr>
          <w:ilvl w:val="0"/>
          <w:numId w:val="1006"/>
        </w:numPr>
      </w:pPr>
      <w:r>
        <w:rPr>
          <w:b/>
          <w:bCs/>
        </w:rPr>
        <w:t xml:space="preserve">More than $900 million</w:t>
      </w:r>
      <w:r>
        <w:t xml:space="preserve"> </w:t>
      </w:r>
      <w:r>
        <w:t xml:space="preserve">of free cash flow</w:t>
      </w:r>
    </w:p>
    <w:p>
      <w:pPr>
        <w:pStyle w:val="FirstParagraph"/>
      </w:pPr>
      <w:r>
        <w:t xml:space="preserve">The full-year revenue guide includes roughly</w:t>
      </w:r>
      <w:r>
        <w:t xml:space="preserve"> </w:t>
      </w:r>
      <w:r>
        <w:rPr>
          <w:b/>
          <w:bCs/>
        </w:rPr>
        <w:t xml:space="preserve">7 points</w:t>
      </w:r>
      <w:r>
        <w:t xml:space="preserve"> </w:t>
      </w:r>
      <w:r>
        <w:t xml:space="preserve">of benefit from acquisitions and FX, implying an underlying organic-growth profile of roughly low- to mid-single digits. Management said unconstrained demand would support results near the high end of its range, with memory availability being the principal limiting factor.</w:t>
      </w:r>
    </w:p>
    <w:p>
      <w:pPr>
        <w:pStyle w:val="BodyText"/>
      </w:pPr>
      <w:r>
        <w:t xml:space="preserve">That puts the likely post-earnings stock reaction hierarchy as follows:</w:t>
      </w:r>
    </w:p>
    <w:p>
      <w:pPr>
        <w:pStyle w:val="Compact"/>
        <w:numPr>
          <w:ilvl w:val="0"/>
          <w:numId w:val="1007"/>
        </w:numPr>
      </w:pPr>
      <w:r>
        <w:rPr>
          <w:b/>
          <w:bCs/>
        </w:rPr>
        <w:t xml:space="preserve">Full-year EPS and margin outlook</w:t>
      </w:r>
    </w:p>
    <w:p>
      <w:pPr>
        <w:pStyle w:val="Compact"/>
        <w:numPr>
          <w:ilvl w:val="0"/>
          <w:numId w:val="1007"/>
        </w:numPr>
      </w:pPr>
      <w:r>
        <w:rPr>
          <w:b/>
          <w:bCs/>
        </w:rPr>
        <w:t xml:space="preserve">Memory supply and cost-mitigation commentary</w:t>
      </w:r>
    </w:p>
    <w:p>
      <w:pPr>
        <w:pStyle w:val="Compact"/>
        <w:numPr>
          <w:ilvl w:val="0"/>
          <w:numId w:val="1007"/>
        </w:numPr>
      </w:pPr>
      <w:r>
        <w:rPr>
          <w:b/>
          <w:bCs/>
        </w:rPr>
        <w:t xml:space="preserve">Organic demand, especially manufacturing and machine vision</w:t>
      </w:r>
    </w:p>
    <w:p>
      <w:pPr>
        <w:pStyle w:val="Compact"/>
        <w:numPr>
          <w:ilvl w:val="0"/>
          <w:numId w:val="1007"/>
        </w:numPr>
      </w:pPr>
      <w:r>
        <w:rPr>
          <w:b/>
          <w:bCs/>
        </w:rPr>
        <w:t xml:space="preserve">Elo synergy progress</w:t>
      </w:r>
    </w:p>
    <w:p>
      <w:pPr>
        <w:pStyle w:val="Compact"/>
        <w:numPr>
          <w:ilvl w:val="0"/>
          <w:numId w:val="1007"/>
        </w:numPr>
      </w:pPr>
      <w:r>
        <w:rPr>
          <w:b/>
          <w:bCs/>
        </w:rPr>
        <w:t xml:space="preserve">Capital allocation and buyback cadence</w:t>
      </w:r>
    </w:p>
    <w:p>
      <w:pPr>
        <w:pStyle w:val="FirstParagraph"/>
      </w:pPr>
      <w:r>
        <w:t xml:space="preserve">A maintained full-year guide might be adequate if accompanied by convincing commentary that supply remains secure and demand is pressing toward the high end. A raise would be more meaningful if it reflects genuine organic-demand strength rather than only FX, price, or acquisition effects.</w:t>
      </w:r>
    </w:p>
    <w:p>
      <w:r>
        <w:pict>
          <v:rect style="width:0;height:1.5pt" o:hralign="center" o:hrstd="t" o:hr="t"/>
        </w:pict>
      </w:r>
    </w:p>
    <w:bookmarkEnd w:id="15"/>
    <w:bookmarkStart w:id="16" w:name="Xb571ce1418f8d7f0029fb625ab6e2168a83d792"/>
    <w:p>
      <w:pPr>
        <w:pStyle w:val="Heading2"/>
      </w:pPr>
      <w:r>
        <w:t xml:space="preserve">Capital allocation: a supportive, but not risk-free, tailwind</w:t>
      </w:r>
    </w:p>
    <w:p>
      <w:pPr>
        <w:pStyle w:val="FirstParagraph"/>
      </w:pPr>
      <w:r>
        <w:t xml:space="preserve">Management repurchased</w:t>
      </w:r>
      <w:r>
        <w:t xml:space="preserve"> </w:t>
      </w:r>
      <m:oMath>
        <m:r>
          <m:t>300</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t>a</m:t>
        </m:r>
        <m:r>
          <m:t>n</m:t>
        </m:r>
        <m:r>
          <m:t>d</m:t>
        </m:r>
        <m:r>
          <m:t>a</m:t>
        </m:r>
        <m:r>
          <m:t>n</m:t>
        </m:r>
        <m:r>
          <m:t>o</m:t>
        </m:r>
        <m:r>
          <m:t>t</m:t>
        </m:r>
        <m:r>
          <m:t>h</m:t>
        </m:r>
        <m:r>
          <m:t>e</m:t>
        </m:r>
        <m:r>
          <m:t>r</m:t>
        </m:r>
        <m:r>
          <m:rPr>
            <m:sty m:val="p"/>
          </m:rPr>
          <m:t>*</m:t>
        </m:r>
        <m:r>
          <m:rPr>
            <m:sty m:val="p"/>
          </m:rPr>
          <m:t>*</m:t>
        </m:r>
      </m:oMath>
      <w:r>
        <w:rPr>
          <w:b/>
          <w:bCs/>
        </w:rPr>
        <w:t xml:space="preserve">200 million</w:t>
      </w:r>
      <w:r>
        <w:t xml:space="preserve"> </w:t>
      </w:r>
      <w:r>
        <w:t xml:space="preserve">early in 2Q, demonstrating confidence in both cash flow and valuation. The company said its current EPS outlook assumes an additional $100 million of repurchases, while leaving open the possibility of allocating more of annual free cash flow to buybacks.</w:t>
      </w:r>
    </w:p>
    <w:p>
      <w:pPr>
        <w:pStyle w:val="BodyText"/>
      </w:pPr>
      <w:r>
        <w:t xml:space="preserve">The trade-off is that the company had</w:t>
      </w:r>
      <w:r>
        <w:t xml:space="preserve"> </w:t>
      </w:r>
      <m:oMath>
        <m:r>
          <m:t>2.66</m:t>
        </m:r>
        <m:r>
          <m:t>b</m:t>
        </m:r>
        <m:r>
          <m:t>i</m:t>
        </m:r>
        <m:r>
          <m:t>l</m:t>
        </m:r>
        <m:r>
          <m:t>l</m:t>
        </m:r>
        <m:r>
          <m:t>i</m:t>
        </m:r>
        <m:r>
          <m:t>o</m:t>
        </m:r>
        <m:r>
          <m:t>n</m:t>
        </m:r>
        <m:r>
          <m:t>o</m:t>
        </m:r>
        <m:r>
          <m:t>f</m:t>
        </m:r>
        <m:r>
          <m:t>t</m:t>
        </m:r>
        <m:r>
          <m:t>o</m:t>
        </m:r>
        <m:r>
          <m:t>t</m:t>
        </m:r>
        <m:r>
          <m:t>a</m:t>
        </m:r>
        <m:r>
          <m:t>l</m:t>
        </m:r>
        <m:r>
          <m:t>d</m:t>
        </m:r>
        <m:r>
          <m:t>e</m:t>
        </m:r>
        <m:r>
          <m:t>b</m:t>
        </m:r>
        <m:r>
          <m:t>t</m:t>
        </m:r>
        <m:r>
          <m:rPr>
            <m:sty m:val="p"/>
          </m:rPr>
          <m:t>*</m:t>
        </m:r>
        <m:r>
          <m:rPr>
            <m:sty m:val="p"/>
          </m:rPr>
          <m:t>*</m:t>
        </m:r>
        <m:r>
          <m:t>a</m:t>
        </m:r>
        <m:r>
          <m:t>t</m:t>
        </m:r>
        <m:r>
          <m:t>t</m:t>
        </m:r>
        <m:r>
          <m:t>h</m:t>
        </m:r>
        <m:r>
          <m:t>e</m:t>
        </m:r>
        <m:r>
          <m:t>e</m:t>
        </m:r>
        <m:r>
          <m:t>n</m:t>
        </m:r>
        <m:r>
          <m:t>d</m:t>
        </m:r>
        <m:r>
          <m:t>o</m:t>
        </m:r>
        <m:r>
          <m:t>f</m:t>
        </m:r>
        <m:r>
          <m:t>1</m:t>
        </m:r>
        <m:r>
          <m:t>Q</m:t>
        </m:r>
        <m:r>
          <m:rPr>
            <m:sty m:val="p"/>
          </m:rPr>
          <m:t>,</m:t>
        </m:r>
        <m:r>
          <m:t>w</m:t>
        </m:r>
        <m:r>
          <m:t>i</m:t>
        </m:r>
        <m:r>
          <m:t>t</m:t>
        </m:r>
        <m:r>
          <m:t>h</m:t>
        </m:r>
        <m:r>
          <m:t>s</m:t>
        </m:r>
        <m:r>
          <m:t>o</m:t>
        </m:r>
        <m:r>
          <m:t>m</m:t>
        </m:r>
        <m:r>
          <m:t>e</m:t>
        </m:r>
        <m:r>
          <m:t>i</m:t>
        </m:r>
        <m:r>
          <m:t>n</m:t>
        </m:r>
        <m:r>
          <m:t>c</m:t>
        </m:r>
        <m:r>
          <m:t>r</m:t>
        </m:r>
        <m:r>
          <m:t>e</m:t>
        </m:r>
        <m:r>
          <m:t>m</m:t>
        </m:r>
        <m:r>
          <m:t>e</m:t>
        </m:r>
        <m:r>
          <m:t>n</m:t>
        </m:r>
        <m:r>
          <m:t>t</m:t>
        </m:r>
        <m:r>
          <m:t>a</m:t>
        </m:r>
        <m:r>
          <m:t>l</m:t>
        </m:r>
        <m:r>
          <m:t>r</m:t>
        </m:r>
        <m:r>
          <m:t>e</m:t>
        </m:r>
        <m:r>
          <m:t>v</m:t>
        </m:r>
        <m:r>
          <m:t>o</m:t>
        </m:r>
        <m:r>
          <m:t>l</m:t>
        </m:r>
        <m:r>
          <m:t>v</m:t>
        </m:r>
        <m:r>
          <m:t>e</m:t>
        </m:r>
        <m:r>
          <m:t>r</m:t>
        </m:r>
        <m:r>
          <m:t>a</m:t>
        </m:r>
        <m:r>
          <m:t>n</m:t>
        </m:r>
        <m:r>
          <m:t>d</m:t>
        </m:r>
        <m:r>
          <m:t>r</m:t>
        </m:r>
        <m:r>
          <m:t>e</m:t>
        </m:r>
        <m:r>
          <m:t>c</m:t>
        </m:r>
        <m:r>
          <m:t>e</m:t>
        </m:r>
        <m:r>
          <m:t>i</m:t>
        </m:r>
        <m:r>
          <m:t>v</m:t>
        </m:r>
        <m:r>
          <m:t>a</m:t>
        </m:r>
        <m:r>
          <m:t>b</m:t>
        </m:r>
        <m:r>
          <m:t>l</m:t>
        </m:r>
        <m:r>
          <m:t>e</m:t>
        </m:r>
        <m:r>
          <m:t>s</m:t>
        </m:r>
        <m:r>
          <m:rPr>
            <m:sty m:val="p"/>
          </m:rPr>
          <m:t>−</m:t>
        </m:r>
        <m:r>
          <m:t>f</m:t>
        </m:r>
        <m:r>
          <m:t>i</m:t>
        </m:r>
        <m:r>
          <m:t>n</m:t>
        </m:r>
        <m:r>
          <m:t>a</m:t>
        </m:r>
        <m:r>
          <m:t>n</m:t>
        </m:r>
        <m:r>
          <m:t>c</m:t>
        </m:r>
        <m:r>
          <m:t>i</m:t>
        </m:r>
        <m:r>
          <m:t>n</m:t>
        </m:r>
        <m:r>
          <m:t>g</m:t>
        </m:r>
        <m:r>
          <m:t>b</m:t>
        </m:r>
        <m:r>
          <m:t>o</m:t>
        </m:r>
        <m:r>
          <m:t>r</m:t>
        </m:r>
        <m:r>
          <m:t>r</m:t>
        </m:r>
        <m:r>
          <m:t>o</m:t>
        </m:r>
        <m:r>
          <m:t>w</m:t>
        </m:r>
        <m:r>
          <m:t>i</m:t>
        </m:r>
        <m:r>
          <m:t>n</m:t>
        </m:r>
        <m:r>
          <m:t>g</m:t>
        </m:r>
        <m:r>
          <m:t>s</m:t>
        </m:r>
        <m:r>
          <m:t>u</m:t>
        </m:r>
        <m:r>
          <m:t>s</m:t>
        </m:r>
        <m:r>
          <m:t>e</m:t>
        </m:r>
        <m:r>
          <m:t>d</m:t>
        </m:r>
        <m:r>
          <m:t>t</m:t>
        </m:r>
        <m:r>
          <m:t>o</m:t>
        </m:r>
        <m:r>
          <m:t>s</m:t>
        </m:r>
        <m:r>
          <m:t>u</m:t>
        </m:r>
        <m:r>
          <m:t>p</m:t>
        </m:r>
        <m:r>
          <m:t>p</m:t>
        </m:r>
        <m:r>
          <m:t>o</m:t>
        </m:r>
        <m:r>
          <m:t>r</m:t>
        </m:r>
        <m:r>
          <m:t>t</m:t>
        </m:r>
        <m:r>
          <m:t>r</m:t>
        </m:r>
        <m:r>
          <m:t>e</m:t>
        </m:r>
        <m:r>
          <m:t>p</m:t>
        </m:r>
        <m:r>
          <m:t>u</m:t>
        </m:r>
        <m:r>
          <m:t>r</m:t>
        </m:r>
        <m:r>
          <m:t>c</m:t>
        </m:r>
        <m:r>
          <m:t>h</m:t>
        </m:r>
        <m:r>
          <m:t>a</m:t>
        </m:r>
        <m:r>
          <m:t>s</m:t>
        </m:r>
        <m:r>
          <m:t>e</m:t>
        </m:r>
        <m:r>
          <m:t>s</m:t>
        </m:r>
        <m:r>
          <m:rPr>
            <m:sty m:val="p"/>
          </m:rPr>
          <m:t>.</m:t>
        </m:r>
        <m:r>
          <m:t>M</m:t>
        </m:r>
        <m:r>
          <m:t>a</m:t>
        </m:r>
        <m:r>
          <m:t>n</m:t>
        </m:r>
        <m:r>
          <m:t>a</m:t>
        </m:r>
        <m:r>
          <m:t>g</m:t>
        </m:r>
        <m:r>
          <m:t>e</m:t>
        </m:r>
        <m:r>
          <m:t>m</m:t>
        </m:r>
        <m:r>
          <m:t>e</m:t>
        </m:r>
        <m:r>
          <m:t>n</m:t>
        </m:r>
        <m:r>
          <m:t>t</m:t>
        </m:r>
        <m:r>
          <m:t>c</m:t>
        </m:r>
        <m:r>
          <m:t>i</m:t>
        </m:r>
        <m:r>
          <m:t>t</m:t>
        </m:r>
        <m:r>
          <m:t>e</m:t>
        </m:r>
        <m:r>
          <m:t>d</m:t>
        </m:r>
        <m:r>
          <m:t>l</m:t>
        </m:r>
        <m:r>
          <m:t>e</m:t>
        </m:r>
        <m:r>
          <m:t>v</m:t>
        </m:r>
        <m:r>
          <m:t>e</m:t>
        </m:r>
        <m:r>
          <m:t>r</m:t>
        </m:r>
        <m:r>
          <m:t>a</m:t>
        </m:r>
        <m:r>
          <m:t>g</m:t>
        </m:r>
        <m:r>
          <m:t>e</m:t>
        </m:r>
        <m:r>
          <m:t>o</m:t>
        </m:r>
        <m:r>
          <m:t>f</m:t>
        </m:r>
        <m:r>
          <m:t>a</m:t>
        </m:r>
        <m:r>
          <m:t>p</m:t>
        </m:r>
        <m:r>
          <m:t>p</m:t>
        </m:r>
        <m:r>
          <m:t>r</m:t>
        </m:r>
        <m:r>
          <m:t>o</m:t>
        </m:r>
        <m:r>
          <m:t>x</m:t>
        </m:r>
        <m:r>
          <m:t>i</m:t>
        </m:r>
        <m:r>
          <m:t>m</m:t>
        </m:r>
        <m:r>
          <m:t>a</m:t>
        </m:r>
        <m:r>
          <m:t>t</m:t>
        </m:r>
        <m:r>
          <m:t>e</m:t>
        </m:r>
        <m:r>
          <m:t>l</m:t>
        </m:r>
        <m:r>
          <m:t>y</m:t>
        </m:r>
        <m:r>
          <m:rPr>
            <m:sty m:val="p"/>
          </m:rPr>
          <m:t>*</m:t>
        </m:r>
        <m:r>
          <m:rPr>
            <m:sty m:val="p"/>
          </m:rPr>
          <m:t>*</m:t>
        </m:r>
        <m:r>
          <m:t>2.1</m:t>
        </m:r>
        <m:r>
          <m:t>x</m:t>
        </m:r>
        <m:r>
          <m:rPr>
            <m:sty m:val="p"/>
          </m:rPr>
          <m:t>*</m:t>
        </m:r>
        <m:r>
          <m:rPr>
            <m:sty m:val="p"/>
          </m:rPr>
          <m:t>*</m:t>
        </m:r>
        <m:r>
          <m:t>a</m:t>
        </m:r>
        <m:r>
          <m:t>n</m:t>
        </m:r>
        <m:r>
          <m:t>d</m:t>
        </m:r>
        <m:r>
          <m:rPr>
            <m:sty m:val="p"/>
          </m:rPr>
          <m:t>*</m:t>
        </m:r>
        <m:r>
          <m:rPr>
            <m:sty m:val="p"/>
          </m:rPr>
          <m:t>*</m:t>
        </m:r>
      </m:oMath>
      <w:r>
        <w:rPr>
          <w:b/>
          <w:bCs/>
        </w:rPr>
        <w:t xml:space="preserve">1.1 billion</w:t>
      </w:r>
      <w:r>
        <w:t xml:space="preserve"> </w:t>
      </w:r>
      <w:r>
        <w:t xml:space="preserve">of credit capacity, which appears manageable, but investors should monitor whether continued repurchases reduce flexibility if the component environment or macro demand deteriorates.</w:t>
      </w:r>
    </w:p>
    <w:p>
      <w:r>
        <w:pict>
          <v:rect style="width:0;height:1.5pt" o:hralign="center" o:hrstd="t" o:hr="t"/>
        </w:pict>
      </w:r>
    </w:p>
    <w:bookmarkEnd w:id="16"/>
    <w:bookmarkStart w:id="17" w:name="key-questions-for-the-call"/>
    <w:p>
      <w:pPr>
        <w:pStyle w:val="Heading2"/>
      </w:pPr>
      <w:r>
        <w:t xml:space="preserve">Key questions for the call</w:t>
      </w:r>
    </w:p>
    <w:p>
      <w:pPr>
        <w:pStyle w:val="Compact"/>
        <w:numPr>
          <w:ilvl w:val="0"/>
          <w:numId w:val="1008"/>
        </w:numPr>
      </w:pPr>
      <w:r>
        <w:rPr>
          <w:b/>
          <w:bCs/>
        </w:rPr>
        <w:t xml:space="preserve">Did revenue land near the top or bottom of the 14%–17% guide, and what portion was organic?</w:t>
      </w:r>
    </w:p>
    <w:p>
      <w:pPr>
        <w:pStyle w:val="Compact"/>
        <w:numPr>
          <w:ilvl w:val="0"/>
          <w:numId w:val="1008"/>
        </w:numPr>
      </w:pPr>
      <w:r>
        <w:rPr>
          <w:b/>
          <w:bCs/>
        </w:rPr>
        <w:t xml:space="preserve">Has the second-half memory allocation changed relative to the first half?</w:t>
      </w:r>
    </w:p>
    <w:p>
      <w:pPr>
        <w:pStyle w:val="Compact"/>
        <w:numPr>
          <w:ilvl w:val="0"/>
          <w:numId w:val="1008"/>
        </w:numPr>
      </w:pPr>
      <w:r>
        <w:rPr>
          <w:b/>
          <w:bCs/>
        </w:rPr>
        <w:t xml:space="preserve">Are memory costs and price realization still consistent with full mitigation of the estimated full-year margin headwind?</w:t>
      </w:r>
    </w:p>
    <w:p>
      <w:pPr>
        <w:pStyle w:val="Compact"/>
        <w:numPr>
          <w:ilvl w:val="0"/>
          <w:numId w:val="1008"/>
        </w:numPr>
      </w:pPr>
      <w:r>
        <w:rPr>
          <w:b/>
          <w:bCs/>
        </w:rPr>
        <w:t xml:space="preserve">Did manufacturing and machine vision retain their 1Q momentum?</w:t>
      </w:r>
    </w:p>
    <w:p>
      <w:pPr>
        <w:pStyle w:val="Compact"/>
        <w:numPr>
          <w:ilvl w:val="0"/>
          <w:numId w:val="1008"/>
        </w:numPr>
      </w:pPr>
      <w:r>
        <w:rPr>
          <w:b/>
          <w:bCs/>
        </w:rPr>
        <w:t xml:space="preserve">What is the current pace of Elo revenue and cost synergies?</w:t>
      </w:r>
    </w:p>
    <w:p>
      <w:pPr>
        <w:pStyle w:val="Compact"/>
        <w:numPr>
          <w:ilvl w:val="0"/>
          <w:numId w:val="1008"/>
        </w:numPr>
      </w:pPr>
      <w:r>
        <w:rPr>
          <w:b/>
          <w:bCs/>
        </w:rPr>
        <w:t xml:space="preserve">Has the company seen any change in large-project activity, particularly transportation-and-logistics refreshes expected to build into 2027?</w:t>
      </w:r>
    </w:p>
    <w:p>
      <w:pPr>
        <w:pStyle w:val="Compact"/>
        <w:numPr>
          <w:ilvl w:val="0"/>
          <w:numId w:val="1008"/>
        </w:numPr>
      </w:pPr>
      <w:r>
        <w:rPr>
          <w:b/>
          <w:bCs/>
        </w:rPr>
        <w:t xml:space="preserve">Are tariffs, freight costs, or trade-policy changes creating a different second-half risk profile?</w:t>
      </w:r>
    </w:p>
    <w:p>
      <w:pPr>
        <w:pStyle w:val="Compact"/>
        <w:numPr>
          <w:ilvl w:val="0"/>
          <w:numId w:val="1008"/>
        </w:numPr>
      </w:pPr>
      <w:r>
        <w:rPr>
          <w:b/>
          <w:bCs/>
        </w:rPr>
        <w:t xml:space="preserve">Will share repurchases exceed the $600 million implicitly contemplated through the current annual EPS framework?</w:t>
      </w:r>
    </w:p>
    <w:p>
      <w:r>
        <w:pict>
          <v:rect style="width:0;height:1.5pt" o:hralign="center" o:hrstd="t" o:hr="t"/>
        </w:pict>
      </w:r>
    </w:p>
    <w:bookmarkEnd w:id="17"/>
    <w:bookmarkStart w:id="19" w:name="bottom-line"/>
    <w:p>
      <w:pPr>
        <w:pStyle w:val="Heading2"/>
      </w:pPr>
      <w:r>
        <w:t xml:space="preserve">Bottom line</w:t>
      </w:r>
    </w:p>
    <w:p>
      <w:pPr>
        <w:pStyle w:val="FirstParagraph"/>
      </w:pPr>
      <w:r>
        <w:t xml:space="preserve">Zebra’s 2Q report is primarily a</w:t>
      </w:r>
      <w:r>
        <w:t xml:space="preserve"> </w:t>
      </w:r>
      <w:r>
        <w:rPr>
          <w:b/>
          <w:bCs/>
        </w:rPr>
        <w:t xml:space="preserve">quality-of-growth and margin-execution</w:t>
      </w:r>
      <w:r>
        <w:t xml:space="preserve"> </w:t>
      </w:r>
      <w:r>
        <w:t xml:space="preserve">event. The company has already shown that demand is resilient and broad-based, while Elo, FX, and buybacks provide meaningful support to reported growth and EPS. The higher hurdle is proving that organic growth can remain solid, machine vision can sustain its apparent inflection, and memory inflation can be absorbed without damaging the full-year margin framework.</w:t>
      </w:r>
    </w:p>
    <w:p>
      <w:pPr>
        <w:pStyle w:val="BodyText"/>
      </w:pPr>
      <w:r>
        <w:rPr>
          <w:b/>
          <w:bCs/>
        </w:rPr>
        <w:t xml:space="preserve">Bull case:</w:t>
      </w:r>
      <w:r>
        <w:t xml:space="preserve"> </w:t>
      </w:r>
      <w:r>
        <w:t xml:space="preserve">Organic growth trends toward the high end of the implied range; manufacturing and machine vision remain strong; EBITDA margin exceeds the “slightly above 21%” target; memory supply visibility improves; and full-year guidance is reiterated or raised.</w:t>
      </w:r>
    </w:p>
    <w:p>
      <w:pPr>
        <w:pStyle w:val="BodyText"/>
      </w:pPr>
      <w:r>
        <w:rPr>
          <w:b/>
          <w:bCs/>
        </w:rPr>
        <w:t xml:space="preserve">Bear case:</w:t>
      </w:r>
      <w:r>
        <w:t xml:space="preserve"> </w:t>
      </w:r>
      <w:r>
        <w:t xml:space="preserve">Reported growth is heavily acquisition/FX driven while organic demand slows; memory constraints limit shipments or price recovery; margin lands at or below guidance; or management becomes more cautious on second-half supply, tariffs, or large-project conversion.</w:t>
      </w:r>
    </w:p>
    <w:bookmarkStart w:id="18" w:name="research-basis"/>
    <w:p>
      <w:pPr>
        <w:pStyle w:val="Heading3"/>
      </w:pPr>
      <w:r>
        <w:t xml:space="preserve">Research basis</w:t>
      </w:r>
    </w:p>
    <w:p>
      <w:pPr>
        <w:pStyle w:val="Compact"/>
        <w:numPr>
          <w:ilvl w:val="0"/>
          <w:numId w:val="1009"/>
        </w:numPr>
      </w:pPr>
      <w:r>
        <w:t xml:space="preserve">Zebra 1Q26 earnings release and earnings-call transcript, May 12, 2026</w:t>
      </w:r>
    </w:p>
    <w:p>
      <w:pPr>
        <w:pStyle w:val="Compact"/>
        <w:numPr>
          <w:ilvl w:val="0"/>
          <w:numId w:val="1009"/>
        </w:numPr>
      </w:pPr>
      <w:r>
        <w:t xml:space="preserve">Zebra 1Q26 Form 10-Q, filed May 12, 2026</w:t>
      </w:r>
    </w:p>
    <w:p>
      <w:pPr>
        <w:pStyle w:val="Compact"/>
        <w:numPr>
          <w:ilvl w:val="0"/>
          <w:numId w:val="1009"/>
        </w:numPr>
      </w:pPr>
      <w:r>
        <w:t xml:space="preserve">Zebra 2Q26 reporting-date announcement, July 7, 2026</w:t>
      </w:r>
    </w:p>
    <w:p>
      <w:pPr>
        <w:pStyle w:val="Compact"/>
        <w:numPr>
          <w:ilvl w:val="0"/>
          <w:numId w:val="1009"/>
        </w:numPr>
      </w:pPr>
      <w:r>
        <w:t xml:space="preserve">Zebra 2Q25 earnings release, August 5, 2025</w:t>
      </w:r>
    </w:p>
    <w:p>
      <w:pPr>
        <w:pStyle w:val="Compact"/>
        <w:numPr>
          <w:ilvl w:val="0"/>
          <w:numId w:val="1009"/>
        </w:numPr>
      </w:pPr>
      <w:r>
        <w:t xml:space="preserve">ZBRA historical closing-price data through August 3, 2026</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2026-08-04T00:51:24Z</dcterms:created>
  <dcterms:modified xsi:type="dcterms:W3CDTF">2026-08-04T00:51:24Z</dcterms:modified>
</cp:coreProperties>
</file>

<file path=docProps/custom.xml><?xml version="1.0" encoding="utf-8"?>
<Properties xmlns="http://schemas.openxmlformats.org/officeDocument/2006/custom-properties" xmlns:vt="http://schemas.openxmlformats.org/officeDocument/2006/docPropsVTypes"/>
</file>