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ZTS (Zoetis) before writing the preview. Let me gather recent earnings materials, filings, news, and stock price data.I have a good overview. Let me read the most recent earnings materials (Q1 2026 release + call) and the latest news, plus get stock price data.Now let me read the Q1 2026 earnings call transcript for management's commentary on the challenges, and check the latest analyst/news sentiment.Let me grab the most recent news around the upcoming print for analyst positioning.I now have everything I need. Here's the earnings preview.</w:t>
      </w:r>
    </w:p>
    <w:p>
      <w:r>
        <w:pict>
          <v:rect style="width:0;height:1.5pt" o:hralign="center" o:hrstd="t" o:hr="t"/>
        </w:pict>
      </w:r>
    </w:p>
    <w:bookmarkStart w:id="20" w:name="zoetis-zts--q2-2026-earnings-preview"/>
    <w:p>
      <w:pPr>
        <w:pStyle w:val="Heading1"/>
      </w:pPr>
      <w:r>
        <w:t xml:space="preserve">Zoetis (ZTS) — Q2 2026 Earnings Preview</w:t>
      </w:r>
    </w:p>
    <w:bookmarkStart w:id="9" w:name="Xaf1ce8e96db05c4a75daec4cf08e50ab2238e3a"/>
    <w:p>
      <w:pPr>
        <w:pStyle w:val="Heading3"/>
      </w:pPr>
      <w:r>
        <w:t xml:space="preserve">Reports Thursday, August 6, 2026 (before market open) | Conference call 8:30 a.m. ET</w:t>
      </w:r>
    </w:p>
    <w:bookmarkEnd w:id="9"/>
    <w:bookmarkStart w:id="10" w:name="Xf450e82c66178a8ef82158032077ba516a7ebbd"/>
    <w:p>
      <w:pPr>
        <w:pStyle w:val="Heading2"/>
      </w:pPr>
      <w:r>
        <w:t xml:space="preserve">The setup: a "show-me" quarter after a brutal Q1</w:t>
      </w:r>
    </w:p>
    <w:p>
      <w:pPr>
        <w:pStyle w:val="FirstParagraph"/>
      </w:pPr>
      <w:r>
        <w:t xml:space="preserve">This is arguably the most important print for Zoetis in years. The stock enters the report deeply out of favor after a Q1 report that shattered the long-held thesis that animal health — and Zoetis specifically — is a recession-resistant, price-taking compounder.</w:t>
      </w:r>
    </w:p>
    <w:p>
      <w:pPr>
        <w:pStyle w:val="BodyText"/>
      </w:pPr>
      <w:r>
        <w:rPr>
          <w:b/>
          <w:bCs/>
        </w:rPr>
        <w:t xml:space="preserve">Stock context (why the bar is low):</w:t>
      </w:r>
    </w:p>
    <w:p>
      <w:pPr>
        <w:pStyle w:val="Compact"/>
        <w:numPr>
          <w:ilvl w:val="0"/>
          <w:numId w:val="1001"/>
        </w:numPr>
      </w:pPr>
      <w:r>
        <w:t xml:space="preserve">ZTS closed at **</w:t>
      </w:r>
      <m:oMath>
        <m:r>
          <m:t>74.41</m:t>
        </m:r>
        <m:r>
          <m:t>o</m:t>
        </m:r>
        <m:r>
          <m:t>n</m:t>
        </m:r>
        <m:r>
          <m:t>A</m:t>
        </m:r>
        <m:r>
          <m:t>u</m:t>
        </m:r>
        <m:r>
          <m:t>g</m:t>
        </m:r>
        <m:r>
          <m:t>5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d</m:t>
        </m:r>
        <m:r>
          <m:t>o</m:t>
        </m:r>
        <m:r>
          <m:t>w</m:t>
        </m:r>
        <m:r>
          <m:t>n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41</m:t>
        </m:r>
      </m:oMath>
      <w:r>
        <w:t xml:space="preserve">126 at the start of January).</w:t>
      </w:r>
    </w:p>
    <w:p>
      <w:pPr>
        <w:pStyle w:val="Compact"/>
        <w:numPr>
          <w:ilvl w:val="0"/>
          <w:numId w:val="1001"/>
        </w:numPr>
      </w:pPr>
      <w:r>
        <w:t xml:space="preserve">The damage was concentrated on the Q1 print: shares collapsed from</w:t>
      </w:r>
      <w:r>
        <w:t xml:space="preserve"> </w:t>
      </w:r>
      <w:r>
        <w:rPr>
          <w:b/>
          <w:bCs/>
        </w:rPr>
        <w:t xml:space="preserve">$111.22 on May 6 to</w:t>
      </w:r>
      <w:r>
        <w:rPr>
          <w:b/>
          <w:bCs/>
        </w:rPr>
        <w:t xml:space="preserve"> </w:t>
      </w:r>
      <m:oMath>
        <m:r>
          <m:t>87.31</m:t>
        </m:r>
        <m:r>
          <m:t>o</m:t>
        </m:r>
        <m:r>
          <m:t>n</m:t>
        </m:r>
        <m:r>
          <m:t>M</m:t>
        </m:r>
        <m:r>
          <m:t>a</m:t>
        </m:r>
        <m:r>
          <m:t>y</m:t>
        </m:r>
        <m:r>
          <m:t>7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  <m:r>
          <m:t>a</m:t>
        </m:r>
        <m:r>
          <m:t> </m:t>
        </m:r>
        <m:r>
          <m:t>21</m:t>
        </m:r>
      </m:oMath>
      <w:r>
        <w:rPr>
          <w:b/>
          <w:bCs/>
        </w:rPr>
        <w:t xml:space="preserve">72 by late June</w:t>
      </w:r>
      <w:r>
        <w:t xml:space="preserve"> </w:t>
      </w:r>
      <w:r>
        <w:t xml:space="preserve">— the company's worst weekly drop on record (~27%).</w:t>
      </w:r>
    </w:p>
    <w:p>
      <w:pPr>
        <w:pStyle w:val="Compact"/>
        <w:numPr>
          <w:ilvl w:val="0"/>
          <w:numId w:val="1001"/>
        </w:numPr>
      </w:pPr>
      <w:r>
        <w:t xml:space="preserve">Sharp underperformance vs. peers YTD: Elanco (ELAN) is actually</w:t>
      </w:r>
      <w:r>
        <w:t xml:space="preserve"> </w:t>
      </w:r>
      <w:r>
        <w:rPr>
          <w:b/>
          <w:bCs/>
        </w:rPr>
        <w:t xml:space="preserve">up ~16%</w:t>
      </w:r>
      <w:r>
        <w:t xml:space="preserve"> </w:t>
      </w:r>
      <w:r>
        <w:t xml:space="preserve">and IDEXX (IDXX) is down ~13%, versus ZTS down ~41%. This is a company-specific/companion-animal-demand story, not a sector wipeout.</w:t>
      </w:r>
    </w:p>
    <w:p>
      <w:pPr>
        <w:pStyle w:val="FirstParagraph"/>
      </w:pPr>
      <w:r>
        <w:rPr>
          <w:b/>
          <w:bCs/>
        </w:rPr>
        <w:t xml:space="preserve">Consensus for Q2:</w:t>
      </w:r>
      <w:r>
        <w:t xml:space="preserve"> </w:t>
      </w:r>
      <w:r>
        <w:t xml:space="preserve">the Street is looking for</w:t>
      </w:r>
      <w:r>
        <w:t xml:space="preserve"> </w:t>
      </w:r>
      <w:r>
        <w:rPr>
          <w:b/>
          <w:bCs/>
        </w:rPr>
        <w:t xml:space="preserve">adjusted EPS of ~$1.84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total sales growth of ~+1.6%</w:t>
      </w:r>
      <w:r>
        <w:t xml:space="preserve">. Sentiment is described as gloomy, centered on the</w:t>
      </w:r>
      <w:r>
        <w:t xml:space="preserve"> </w:t>
      </w:r>
      <w:r>
        <w:rPr>
          <w:b/>
          <w:bCs/>
        </w:rPr>
        <w:t xml:space="preserve">Librela</w:t>
      </w:r>
      <w:r>
        <w:t xml:space="preserve"> </w:t>
      </w:r>
      <w:r>
        <w:t xml:space="preserve">franchise and the broader U.S. companion-animal business — but the bar is now low, and any signs of stabilization could support the shares.</w:t>
      </w:r>
    </w:p>
    <w:p>
      <w:pPr>
        <w:pStyle w:val="BodyText"/>
      </w:pPr>
      <w:r>
        <w:t xml:space="preserve">The key question for tomorrow:</w:t>
      </w:r>
      <w:r>
        <w:t xml:space="preserve"> </w:t>
      </w:r>
      <w:r>
        <w:rPr>
          <w:b/>
          <w:bCs/>
        </w:rPr>
        <w:t xml:space="preserve">Was Q1 the trough, or the start of a structural reset?</w:t>
      </w:r>
    </w:p>
    <w:p>
      <w:r>
        <w:pict>
          <v:rect style="width:0;height:1.5pt" o:hralign="center" o:hrstd="t" o:hr="t"/>
        </w:pict>
      </w:r>
    </w:p>
    <w:bookmarkEnd w:id="10"/>
    <w:bookmarkStart w:id="11" w:name="Xa285d5b81e45a9bf52ce451fca3d9de2f563b14"/>
    <w:p>
      <w:pPr>
        <w:pStyle w:val="Heading2"/>
      </w:pPr>
      <w:r>
        <w:t xml:space="preserve">What went wrong in Q1 (the baseline to beat)</w:t>
      </w:r>
    </w:p>
    <w:p>
      <w:pPr>
        <w:pStyle w:val="FirstParagraph"/>
      </w:pPr>
      <w:r>
        <w:t xml:space="preserve">Q1 2026 was a genuine negative surprise. Reported revenue was</w:t>
      </w:r>
      <w:r>
        <w:t xml:space="preserve"> </w:t>
      </w:r>
      <m:oMath>
        <m:r>
          <m:t>2.26</m:t>
        </m:r>
        <m:r>
          <m:t>B</m:t>
        </m:r>
        <m:r>
          <m:rPr>
            <m:sty m:val="p"/>
          </m:rPr>
          <m:t>(</m:t>
        </m:r>
        <m:r>
          <m:rPr>
            <m:sty m:val="p"/>
          </m:rPr>
          <m:t>+</m:t>
        </m:r>
        <m:r>
          <m:t>3</m:t>
        </m:r>
      </m:oMath>
      <w:r>
        <w:t xml:space="preserve">1.53 missed the ~$1.61 Street estimate**. Management cut full-year guidance. The drivers, per CEO Kristin Peck and CFO Wetteny Joseph: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Pet-owner price sensitivity</w:t>
      </w:r>
      <w:r>
        <w:t xml:space="preserve"> </w:t>
      </w:r>
      <w:r>
        <w:t xml:space="preserve">— years of vet-clinic price inflation finally bit; owners delayed routine visits and traded down to cheaper options.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Falling clinic traffic</w:t>
      </w:r>
      <w:r>
        <w:t xml:space="preserve"> </w:t>
      </w:r>
      <w:r>
        <w:t xml:space="preserve">— vet visits down ~3%; clinic revenue growth (~3%) was entirely price.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Intensified competition</w:t>
      </w:r>
      <w:r>
        <w:t xml:space="preserve"> </w:t>
      </w:r>
      <w:r>
        <w:t xml:space="preserve">on price/promotion in</w:t>
      </w:r>
      <w:r>
        <w:t xml:space="preserve"> </w:t>
      </w:r>
      <w:r>
        <w:rPr>
          <w:b/>
          <w:bCs/>
        </w:rPr>
        <w:t xml:space="preserve">dermatology and parasiticides</w:t>
      </w:r>
      <w:r>
        <w:t xml:space="preserve"> </w:t>
      </w:r>
      <w:r>
        <w:t xml:space="preserve">— more entrants, more aggressive promotion, for longer.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No market expansion</w:t>
      </w:r>
      <w:r>
        <w:t xml:space="preserve"> </w:t>
      </w:r>
      <w:r>
        <w:t xml:space="preserve">— unlike past competitive cycles, new entrants did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grow the overall market, so share shifts hit revenue directly.</w:t>
      </w:r>
    </w:p>
    <w:p>
      <w:pPr>
        <w:pStyle w:val="FirstParagraph"/>
      </w:pPr>
      <w:r>
        <w:t xml:space="preserve">The segment split was stark: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U.S. –8% organic</w:t>
      </w:r>
      <w:r>
        <w:t xml:space="preserve"> </w:t>
      </w:r>
      <w:r>
        <w:t xml:space="preserve">(companion animal</w:t>
      </w:r>
      <w:r>
        <w:t xml:space="preserve"> </w:t>
      </w:r>
      <w:r>
        <w:rPr>
          <w:b/>
          <w:bCs/>
        </w:rPr>
        <w:t xml:space="preserve">–11%</w:t>
      </w:r>
      <w:r>
        <w:t xml:space="preserve">);</w:t>
      </w:r>
      <w:r>
        <w:t xml:space="preserve"> </w:t>
      </w:r>
      <w:r>
        <w:rPr>
          <w:b/>
          <w:bCs/>
        </w:rPr>
        <w:t xml:space="preserve">International +10% organic</w:t>
      </w:r>
      <w:r>
        <w:t xml:space="preserve"> </w:t>
      </w:r>
      <w:r>
        <w:t xml:space="preserve">(companion animal +7%, livestock +14%).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Companion animal –4%</w:t>
      </w:r>
      <w:r>
        <w:t xml:space="preserve"> </w:t>
      </w:r>
      <w:r>
        <w:t xml:space="preserve">organic;</w:t>
      </w:r>
      <w:r>
        <w:t xml:space="preserve"> </w:t>
      </w:r>
      <w:r>
        <w:rPr>
          <w:b/>
          <w:bCs/>
        </w:rPr>
        <w:t xml:space="preserve">Livestock +12%</w:t>
      </w:r>
      <w:r>
        <w:t xml:space="preserve"> </w:t>
      </w:r>
      <w:r>
        <w:t xml:space="preserve">organic.</w:t>
      </w:r>
    </w:p>
    <w:p>
      <w:pPr>
        <w:pStyle w:val="FirstParagraph"/>
      </w:pPr>
      <w:r>
        <w:t xml:space="preserve">Crucially, International's headline growth was</w:t>
      </w:r>
      <w:r>
        <w:t xml:space="preserve"> </w:t>
      </w:r>
      <w:r>
        <w:rPr>
          <w:b/>
          <w:bCs/>
        </w:rPr>
        <w:t xml:space="preserve">flattered by ~$100M</w:t>
      </w:r>
      <w:r>
        <w:t xml:space="preserve"> </w:t>
      </w:r>
      <w:r>
        <w:t xml:space="preserve">shifted out of Q4 2025 into Q1 2026 from the Fiscal Year Alignment (FYA). Ex-that shift,</w:t>
      </w:r>
      <w:r>
        <w:t xml:space="preserve"> </w:t>
      </w:r>
      <w:r>
        <w:rPr>
          <w:b/>
          <w:bCs/>
        </w:rPr>
        <w:t xml:space="preserve">global organic revenue would have declined ~5%</w:t>
      </w:r>
      <w:r>
        <w:t xml:space="preserve">, and International would have been flat.</w:t>
      </w:r>
      <w:r>
        <w:t xml:space="preserve"> </w:t>
      </w:r>
      <w:r>
        <w:rPr>
          <w:b/>
          <w:bCs/>
        </w:rPr>
        <w:t xml:space="preserve">Watch this carefully in Q2</w:t>
      </w:r>
      <w:r>
        <w:t xml:space="preserve"> </w:t>
      </w:r>
      <w:r>
        <w:t xml:space="preserve">— the reported numbers are noisy because of the calendar realignment.</w:t>
      </w:r>
    </w:p>
    <w:p>
      <w:r>
        <w:pict>
          <v:rect style="width:0;height:1.5pt" o:hralign="center" o:hrstd="t" o:hr="t"/>
        </w:pict>
      </w:r>
    </w:p>
    <w:bookmarkEnd w:id="11"/>
    <w:bookmarkStart w:id="17" w:name="X20964fac44e3870da3d815aaf5f7601d6520f16"/>
    <w:p>
      <w:pPr>
        <w:pStyle w:val="Heading2"/>
      </w:pPr>
      <w:r>
        <w:t xml:space="preserve">The five things that matter most tomorrow</w:t>
      </w:r>
    </w:p>
    <w:bookmarkStart w:id="12" w:name="X030bfd653932c232e2b522c18b0d4ed1c5f1c33"/>
    <w:p>
      <w:pPr>
        <w:pStyle w:val="Heading3"/>
      </w:pPr>
      <w:r>
        <w:t xml:space="preserve">1. Companion animal stabilization — the whole thesis hinges here</w:t>
      </w:r>
    </w:p>
    <w:p>
      <w:pPr>
        <w:pStyle w:val="FirstParagraph"/>
      </w:pPr>
      <w:r>
        <w:t xml:space="preserve">Management insisted the exit rates were improving even as Q1 revenue fell. Watch for confirmation on: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Dermatology (key derm –11% global, U.S. –13%):</w:t>
      </w:r>
      <w:r>
        <w:t xml:space="preserve"> </w:t>
      </w:r>
      <w:r>
        <w:t xml:space="preserve">Apoquel is losing share to lower-priced JAK competitors; Cytopoint is holding up better (low switching). Any sequential stabilization or evidence that promotions are moderating would be a positive.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Simparica franchise (–1% global):</w:t>
      </w:r>
      <w:r>
        <w:t xml:space="preserve"> </w:t>
      </w:r>
      <w:r>
        <w:t xml:space="preserve">Management flagged U.S. share nearing prior-year levels by quarter-end and stable puppy share. A return toward growth here would be an important tell.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Convenia and Cerenia:</w:t>
      </w:r>
      <w:r>
        <w:t xml:space="preserve"> </w:t>
      </w:r>
      <w:r>
        <w:t xml:space="preserve">now facing</w:t>
      </w:r>
      <w:r>
        <w:t xml:space="preserve"> </w:t>
      </w:r>
      <w:r>
        <w:rPr>
          <w:b/>
          <w:bCs/>
        </w:rPr>
        <w:t xml:space="preserve">generic competition</w:t>
      </w:r>
      <w:r>
        <w:t xml:space="preserve"> </w:t>
      </w:r>
      <w:r>
        <w:t xml:space="preserve">and losing meaningful share. Watch whether this bleeds further — and whether generics stay contained to non-core brands (management insists no generics in derm/pain/paras "for the next many years").</w:t>
      </w:r>
    </w:p>
    <w:bookmarkEnd w:id="12"/>
    <w:bookmarkStart w:id="13" w:name="Xc55dd1179eed78867106e6807dba6a96fdd0f76"/>
    <w:p>
      <w:pPr>
        <w:pStyle w:val="Heading3"/>
      </w:pPr>
      <w:r>
        <w:t xml:space="preserve">2. Librela — the lightning rod</w:t>
      </w:r>
    </w:p>
    <w:p>
      <w:pPr>
        <w:pStyle w:val="Compact"/>
        <w:numPr>
          <w:ilvl w:val="0"/>
          <w:numId w:val="1005"/>
        </w:numPr>
      </w:pPr>
      <w:r>
        <w:t xml:space="preserve">Q1 Librela was</w:t>
      </w:r>
      <w:r>
        <w:t xml:space="preserve"> </w:t>
      </w:r>
      <w:r>
        <w:rPr>
          <w:b/>
          <w:bCs/>
        </w:rPr>
        <w:t xml:space="preserve">$101M (–13%)</w:t>
      </w:r>
      <w:r>
        <w:t xml:space="preserve">, but management stressed</w:t>
      </w:r>
      <w:r>
        <w:t xml:space="preserve"> </w:t>
      </w:r>
      <w:r>
        <w:rPr>
          <w:b/>
          <w:bCs/>
        </w:rPr>
        <w:t xml:space="preserve">U.S. sequential stabilization</w:t>
      </w:r>
      <w:r>
        <w:t xml:space="preserve"> </w:t>
      </w:r>
      <w:r>
        <w:t xml:space="preserve">(first sequential increase in 6 quarters) with stable patient share and improving vet conversations (helped by the U.K. VMD positive benefit-risk findings).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Comps ease as the year progresses</w:t>
      </w:r>
      <w:r>
        <w:t xml:space="preserve"> </w:t>
      </w:r>
      <w:r>
        <w:t xml:space="preserve">and the long-acting</w:t>
      </w:r>
      <w:r>
        <w:t xml:space="preserve"> </w:t>
      </w:r>
      <w:r>
        <w:rPr>
          <w:b/>
          <w:bCs/>
        </w:rPr>
        <w:t xml:space="preserve">Lenivia/Portela</w:t>
      </w:r>
      <w:r>
        <w:t xml:space="preserve"> </w:t>
      </w:r>
      <w:r>
        <w:t xml:space="preserve">launches are ramping in EU/Canada. Investors will want proof the U.S. stabilization is holding and that OA-pain can inflect back toward growth in 2H. This is the single most-watched franchise into the print.</w:t>
      </w:r>
    </w:p>
    <w:bookmarkEnd w:id="13"/>
    <w:bookmarkStart w:id="14" w:name="X033e9b6418adf5b60b38e8253a76669cad315f2"/>
    <w:p>
      <w:pPr>
        <w:pStyle w:val="Heading3"/>
      </w:pPr>
      <w:r>
        <w:t xml:space="preserve">3. Guidance — hold, cut again, or raise the floor?</w:t>
      </w:r>
    </w:p>
    <w:p>
      <w:pPr>
        <w:pStyle w:val="FirstParagraph"/>
      </w:pPr>
      <w:r>
        <w:t xml:space="preserve">Current FY2026 guidance (set May 7):</w:t>
      </w:r>
    </w:p>
    <w:p>
      <w:pPr>
        <w:pStyle w:val="Compact"/>
        <w:numPr>
          <w:ilvl w:val="0"/>
          <w:numId w:val="1006"/>
        </w:numPr>
      </w:pPr>
      <w:r>
        <w:t xml:space="preserve">Revenue</w:t>
      </w:r>
      <w:r>
        <w:t xml:space="preserve"> </w:t>
      </w:r>
      <w:r>
        <w:rPr>
          <w:b/>
          <w:bCs/>
        </w:rPr>
        <w:t xml:space="preserve">$9.68–9.96B</w:t>
      </w:r>
      <w:r>
        <w:t xml:space="preserve"> </w:t>
      </w:r>
      <w:r>
        <w:t xml:space="preserve">(organic operational</w:t>
      </w:r>
      <w:r>
        <w:t xml:space="preserve"> </w:t>
      </w:r>
      <w:r>
        <w:rPr>
          <w:b/>
          <w:bCs/>
        </w:rPr>
        <w:t xml:space="preserve">+2–5%</w:t>
      </w:r>
      <w:r>
        <w:t xml:space="preserve">)</w:t>
      </w:r>
    </w:p>
    <w:p>
      <w:pPr>
        <w:pStyle w:val="Compact"/>
        <w:numPr>
          <w:ilvl w:val="0"/>
          <w:numId w:val="1006"/>
        </w:numPr>
      </w:pPr>
      <w:r>
        <w:t xml:space="preserve">Adjusted net income</w:t>
      </w:r>
      <w:r>
        <w:t xml:space="preserve"> </w:t>
      </w:r>
      <w:r>
        <w:rPr>
          <w:b/>
          <w:bCs/>
        </w:rPr>
        <w:t xml:space="preserve">$2.87–2.95B</w:t>
      </w:r>
      <w:r>
        <w:t xml:space="preserve"> </w:t>
      </w:r>
      <w:r>
        <w:t xml:space="preserve">(+2–6%)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Adjusted diluted EPS $6.85–7.00</w:t>
      </w:r>
      <w:r>
        <w:t xml:space="preserve">; reported EPS $6.35–6.50</w:t>
      </w:r>
    </w:p>
    <w:p>
      <w:pPr>
        <w:pStyle w:val="FirstParagraph"/>
      </w:pPr>
      <w:r>
        <w:t xml:space="preserve">With Q1 organic</w:t>
      </w:r>
      <w:r>
        <w:t xml:space="preserve"> </w:t>
      </w:r>
      <w:r>
        <w:rPr>
          <w:b/>
          <w:bCs/>
        </w:rPr>
        <w:t xml:space="preserve">flat</w:t>
      </w:r>
      <w:r>
        <w:t xml:space="preserve"> </w:t>
      </w:r>
      <w:r>
        <w:t xml:space="preserve">(–5% ex-FYA), the full-year 2–5% guide implies a</w:t>
      </w:r>
      <w:r>
        <w:t xml:space="preserve"> </w:t>
      </w:r>
      <w:r>
        <w:rPr>
          <w:b/>
          <w:bCs/>
        </w:rPr>
        <w:t xml:space="preserve">meaningful 2H ramp</w:t>
      </w:r>
      <w:r>
        <w:t xml:space="preserve">, aided by easier comps and the Q4 FYA tailwind (~200–250 bps for the year). The credibility of that ramp is the crux. After a fresh cut in Q1, another cut would be very damaging; simply</w:t>
      </w:r>
      <w:r>
        <w:t xml:space="preserve"> </w:t>
      </w:r>
      <w:r>
        <w:rPr>
          <w:b/>
          <w:bCs/>
        </w:rPr>
        <w:t xml:space="preserve">holding the range</w:t>
      </w:r>
      <w:r>
        <w:t xml:space="preserve"> </w:t>
      </w:r>
      <w:r>
        <w:t xml:space="preserve">(or narrowing to the low end while affirming) may be enough to relieve the low-bar setup. Watch management's language on whether macro/competitive pressure is "persisting" vs. "worsening."</w:t>
      </w:r>
    </w:p>
    <w:bookmarkEnd w:id="14"/>
    <w:bookmarkStart w:id="15" w:name="X70de43ed115c7c9d6b3a2e57556c881cb289e92"/>
    <w:p>
      <w:pPr>
        <w:pStyle w:val="Heading3"/>
      </w:pPr>
      <w:r>
        <w:t xml:space="preserve">4. Margins, cost program, and the "leveraged P&amp;L"</w:t>
      </w:r>
    </w:p>
    <w:p>
      <w:pPr>
        <w:pStyle w:val="Compact"/>
        <w:numPr>
          <w:ilvl w:val="0"/>
          <w:numId w:val="1007"/>
        </w:numPr>
      </w:pPr>
      <w:r>
        <w:t xml:space="preserve">Q1 adjusted gross margin was</w:t>
      </w:r>
      <w:r>
        <w:t xml:space="preserve"> </w:t>
      </w:r>
      <w:r>
        <w:rPr>
          <w:b/>
          <w:bCs/>
        </w:rPr>
        <w:t xml:space="preserve">71.8%</w:t>
      </w:r>
      <w:r>
        <w:t xml:space="preserve"> </w:t>
      </w:r>
      <w:r>
        <w:t xml:space="preserve">(–10 bps reported,</w:t>
      </w:r>
      <w:r>
        <w:t xml:space="preserve"> </w:t>
      </w:r>
      <w:r>
        <w:rPr>
          <w:b/>
          <w:bCs/>
        </w:rPr>
        <w:t xml:space="preserve">+140 bps ex-FX</w:t>
      </w:r>
      <w:r>
        <w:t xml:space="preserve">) — manufacturing execution has been a bright spot.</w:t>
      </w:r>
    </w:p>
    <w:p>
      <w:pPr>
        <w:pStyle w:val="Compact"/>
        <w:numPr>
          <w:ilvl w:val="0"/>
          <w:numId w:val="1007"/>
        </w:numPr>
      </w:pPr>
      <w:r>
        <w:t xml:space="preserve">Management launched a</w:t>
      </w:r>
      <w:r>
        <w:t xml:space="preserve"> </w:t>
      </w:r>
      <w:r>
        <w:rPr>
          <w:b/>
          <w:bCs/>
        </w:rPr>
        <w:t xml:space="preserve">comprehensive cost &amp; productivity program</w:t>
      </w:r>
      <w:r>
        <w:t xml:space="preserve"> </w:t>
      </w:r>
      <w:r>
        <w:t xml:space="preserve">(restructuring, tighter discretionary spend, procurement/organizational levers) to protect the bottom line as the top line softens. Q1 adjusted EPS still grew 7% (helped ~3 pts by convert-funded buybacks).</w:t>
      </w:r>
    </w:p>
    <w:p>
      <w:pPr>
        <w:pStyle w:val="Compact"/>
        <w:numPr>
          <w:ilvl w:val="0"/>
          <w:numId w:val="1007"/>
        </w:numPr>
      </w:pPr>
      <w:r>
        <w:t xml:space="preserve">Watch for evidence the cost actions are landing and whether they can defend the EPS guide even if revenue disappoints. Note</w:t>
      </w:r>
      <w:r>
        <w:t xml:space="preserve"> </w:t>
      </w:r>
      <w:r>
        <w:rPr>
          <w:b/>
          <w:bCs/>
        </w:rPr>
        <w:t xml:space="preserve">mix headwind</w:t>
      </w:r>
      <w:r>
        <w:t xml:space="preserve">: livestock (lower margin) is outgrowing companion animal (higher margin).</w:t>
      </w:r>
    </w:p>
    <w:bookmarkEnd w:id="15"/>
    <w:bookmarkStart w:id="16" w:name="X110ad14c2213fa4c1247a1cb6301a66f04f4c51"/>
    <w:p>
      <w:pPr>
        <w:pStyle w:val="Heading3"/>
      </w:pPr>
      <w:r>
        <w:t xml:space="preserve">5. Pricing and the "new normal" debate</w:t>
      </w:r>
    </w:p>
    <w:p>
      <w:pPr>
        <w:pStyle w:val="Compact"/>
        <w:numPr>
          <w:ilvl w:val="0"/>
          <w:numId w:val="1008"/>
        </w:numPr>
      </w:pPr>
      <w:r>
        <w:t xml:space="preserve">Aggregate 2026 price expectation was cut to</w:t>
      </w:r>
      <w:r>
        <w:t xml:space="preserve"> </w:t>
      </w:r>
      <w:r>
        <w:rPr>
          <w:b/>
          <w:bCs/>
        </w:rPr>
        <w:t xml:space="preserve">1–2%</w:t>
      </w:r>
      <w:r>
        <w:t xml:space="preserve"> </w:t>
      </w:r>
      <w:r>
        <w:t xml:space="preserve">(from 2–3% originally, and well below the elevated prints of recent years). Management is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cutting list prices but is leaning into</w:t>
      </w:r>
      <w:r>
        <w:t xml:space="preserve"> </w:t>
      </w:r>
      <w:r>
        <w:rPr>
          <w:b/>
          <w:bCs/>
        </w:rPr>
        <w:t xml:space="preserve">point-of-sale affordability/loyalty programs</w:t>
      </w:r>
      <w:r>
        <w:t xml:space="preserve"> </w:t>
      </w:r>
      <w:r>
        <w:t xml:space="preserve">for pet owners and cross-portfolio promotions.</w:t>
      </w:r>
    </w:p>
    <w:p>
      <w:pPr>
        <w:pStyle w:val="Compact"/>
        <w:numPr>
          <w:ilvl w:val="0"/>
          <w:numId w:val="1008"/>
        </w:numPr>
      </w:pPr>
      <w:r>
        <w:t xml:space="preserve">The bigger strategic question analysts (William Blair, BofA) pressed: is this a</w:t>
      </w:r>
      <w:r>
        <w:t xml:space="preserve"> </w:t>
      </w:r>
      <w:r>
        <w:rPr>
          <w:b/>
          <w:bCs/>
        </w:rPr>
        <w:t xml:space="preserve">structural</w:t>
      </w:r>
      <w:r>
        <w:t xml:space="preserve"> </w:t>
      </w:r>
      <w:r>
        <w:t xml:space="preserve">deterioration (less durable, more generic/price-driven, no market growth) or a cyclical macro air-pocket? Management firmly argues it's cyclical and that innovation/differentiation will endure. Tomorrow's tone and any forward market-growth commentary matter for the multiple.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18" w:name="other-items-to-monitor"/>
    <w:p>
      <w:pPr>
        <w:pStyle w:val="Heading2"/>
      </w:pPr>
      <w:r>
        <w:t xml:space="preserve">Other items to monitor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International vs. FYA noise:</w:t>
      </w:r>
      <w:r>
        <w:t xml:space="preserve"> </w:t>
      </w:r>
      <w:r>
        <w:t xml:space="preserve">because ~$100M shifted into early 2026, reported International growth will keep looking optically strong. Focus on</w:t>
      </w:r>
      <w:r>
        <w:t xml:space="preserve"> </w:t>
      </w:r>
      <w:r>
        <w:rPr>
          <w:b/>
          <w:bCs/>
        </w:rPr>
        <w:t xml:space="preserve">ex-FYA/underlying</w:t>
      </w:r>
      <w:r>
        <w:t xml:space="preserve"> </w:t>
      </w:r>
      <w:r>
        <w:t xml:space="preserve">figures and any color on the Q4 comp headwind that reverses into 2027 (a ~200–250 bps drag next year, all else equal).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Livestock durability:</w:t>
      </w:r>
      <w:r>
        <w:t xml:space="preserve"> </w:t>
      </w:r>
      <w:r>
        <w:t xml:space="preserve">the clear bright spot (+12% organic in Q1), driven by favorable cattle economics, poultry vaccine demand tied to outbreaks, swine supply recovery, and New World screwworm-related parasiticide use. Watch whether this momentum (mid-to-high-single-digit guide) holds and cushions companion-animal weakness.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Diagnostics:</w:t>
      </w:r>
      <w:r>
        <w:t xml:space="preserve"> </w:t>
      </w:r>
      <w:r>
        <w:t xml:space="preserve">+10% globally in Q1, a resilient "urgent/diagnostic care" category — a proof point for the "demand is intact, spending is shifting" narrative.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Neogen animal genomics acquisition:</w:t>
      </w:r>
      <w:r>
        <w:t xml:space="preserve"> </w:t>
      </w:r>
      <w:r>
        <w:t xml:space="preserve">expected to close 2H 2026; watch for updated timing/accretion commentary. Management reiterated a preference for</w:t>
      </w:r>
      <w:r>
        <w:t xml:space="preserve"> </w:t>
      </w:r>
      <w:r>
        <w:rPr>
          <w:b/>
          <w:bCs/>
        </w:rPr>
        <w:t xml:space="preserve">incremental (not transformational) BD</w:t>
      </w:r>
      <w:r>
        <w:t xml:space="preserve">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Pipeline milestones:</w:t>
      </w:r>
      <w:r>
        <w:t xml:space="preserve"> </w:t>
      </w:r>
      <w:r>
        <w:t xml:space="preserve">12+ potential blockbusters (CKD, oncology, cardiology, anxiety, obesity), with the</w:t>
      </w:r>
      <w:r>
        <w:t xml:space="preserve"> </w:t>
      </w:r>
      <w:r>
        <w:rPr>
          <w:b/>
          <w:bCs/>
        </w:rPr>
        <w:t xml:space="preserve">next major growth wave expected late 2027 into 2028</w:t>
      </w:r>
      <w:r>
        <w:t xml:space="preserve">. Near-term:</w:t>
      </w:r>
      <w:r>
        <w:t xml:space="preserve"> </w:t>
      </w:r>
      <w:r>
        <w:rPr>
          <w:b/>
          <w:bCs/>
        </w:rPr>
        <w:t xml:space="preserve">Cytopoint Plus / long-acting mAbs</w:t>
      </w:r>
      <w:r>
        <w:t xml:space="preserve">, Procerta, Convenia RTU. Any pull-forward of renal/oncology timelines would be a positive surprise.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Buybacks/capital allocation:</w:t>
      </w:r>
      <w:r>
        <w:t xml:space="preserve"> </w:t>
      </w:r>
      <w:r>
        <w:t xml:space="preserve">convert-funded repurchases have been supporting EPS; watch for any acceleration given the depressed share price.</w:t>
      </w:r>
    </w:p>
    <w:p>
      <w:r>
        <w:pict>
          <v:rect style="width:0;height:1.5pt" o:hralign="center" o:hrstd="t" o:hr="t"/>
        </w:pict>
      </w:r>
    </w:p>
    <w:bookmarkEnd w:id="18"/>
    <w:bookmarkStart w:id="19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Expectations are washed out and positioning is defensive after a ~41% YTD drawdown. The debate is binary:</w:t>
      </w:r>
      <w:r>
        <w:t xml:space="preserve"> </w:t>
      </w:r>
      <w:r>
        <w:rPr>
          <w:b/>
          <w:bCs/>
        </w:rPr>
        <w:t xml:space="preserve">cyclical trough vs. structural re-rate.</w:t>
      </w:r>
      <w:r>
        <w:t xml:space="preserve"> </w:t>
      </w:r>
      <w:r>
        <w:t xml:space="preserve">For the bulls, the ingredients for a relief rally are in place — a low bar, a ~$1.84 EPS consensus, easing 2H comps, cost-program leverage, resilient livestock/diagnostics, and management's claim that U.S. companion-animal franchises (Simparica share, Librela sequential) were already stabilizing by quarter-end. For the bears, another guidance trim, continued derm/paras share loss with no market growth, or evidence that price-driven/generic competition is broadening would confirm the "new normal" fear.</w:t>
      </w:r>
    </w:p>
    <w:p>
      <w:pPr>
        <w:pStyle w:val="BodyText"/>
      </w:pPr>
      <w:r>
        <w:rPr>
          <w:b/>
          <w:bCs/>
        </w:rPr>
        <w:t xml:space="preserve">Watch, in order:</w:t>
      </w:r>
      <w:r>
        <w:t xml:space="preserve"> </w:t>
      </w:r>
      <w:r>
        <w:t xml:space="preserve">(1) any change to full-year guidance; (2) U.S. companion-animal organic trend and Librela/Simparica/derm exit rates; (3) tone on whether competitive/macro pressure is stabilizing; and (4) margin/cost-program execution defending the EPS guide. Given the noise from the Fiscal Year Alignment, focus on</w:t>
      </w:r>
      <w:r>
        <w:t xml:space="preserve"> </w:t>
      </w:r>
      <w:r>
        <w:rPr>
          <w:b/>
          <w:bCs/>
        </w:rPr>
        <w:t xml:space="preserve">underlying/ex-FYA</w:t>
      </w:r>
      <w:r>
        <w:t xml:space="preserve"> </w:t>
      </w:r>
      <w:r>
        <w:t xml:space="preserve">figures rather than headline reported growth.</w:t>
      </w:r>
    </w:p>
    <w:p>
      <w:pPr>
        <w:pStyle w:val="BodyText"/>
      </w:pPr>
      <w:r>
        <w:rPr>
          <w:i/>
          <w:iCs/>
        </w:rPr>
        <w:t xml:space="preserve">Note: figures above are drawn from Zoetis's Q1 2026 earnings release and call, and market/consensus data through Aug 5, 2026. Consensus estimates (EPS ~$1.84, sales +1.6%) reflect pre-print Street expectations and may vary by data provider.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2026-08-06T01:45:59Z</dcterms:created>
  <dcterms:modified xsi:type="dcterms:W3CDTF">2026-08-06T01:45:59Z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