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zts-earnings-predictions--2026-08-06"/>
    <w:p>
      <w:pPr>
        <w:pStyle w:val="Heading1"/>
      </w:pPr>
      <w:r>
        <w:t xml:space="preserve">ZTS Earnings Predictions — 2026-08-06</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ZTS</w:t>
            </w:r>
          </w:p>
        </w:tc>
        <w:tc>
          <w:tcPr/>
          <w:p>
            <w:pPr>
              <w:pStyle w:val="Compact"/>
            </w:pPr>
            <w:r>
              <w:t xml:space="preserve">Report</w:t>
            </w:r>
          </w:p>
        </w:tc>
        <w:tc>
          <w:tcPr/>
          <w:p>
            <w:pPr>
              <w:pStyle w:val="Compact"/>
            </w:pPr>
            <w:r>
              <w:t xml:space="preserve">Adjusted diluted EPS</w:t>
            </w:r>
          </w:p>
        </w:tc>
        <w:tc>
          <w:tcPr/>
          <w:p>
            <w:pPr>
              <w:pStyle w:val="Compact"/>
            </w:pPr>
            <w:r>
              <w:t xml:space="preserve">BEAT</w:t>
            </w:r>
          </w:p>
        </w:tc>
        <w:tc>
          <w:tcPr/>
          <w:p>
            <w:pPr>
              <w:pStyle w:val="Compact"/>
            </w:pPr>
            <w:r>
              <w:t xml:space="preserve">pred ~$1.87 vs. cons $1.84</w:t>
            </w:r>
          </w:p>
        </w:tc>
        <w:tc>
          <w:tcPr/>
          <w:p>
            <w:pPr>
              <w:pStyle w:val="Compact"/>
            </w:pPr>
            <w:r>
              <w:t xml:space="preserve">MEDIUM</w:t>
            </w:r>
          </w:p>
        </w:tc>
      </w:tr>
      <w:tr>
        <w:tc>
          <w:tcPr/>
          <w:p>
            <w:pPr>
              <w:pStyle w:val="Compact"/>
            </w:pPr>
            <w:r>
              <w:t xml:space="preserve">ZTS</w:t>
            </w:r>
          </w:p>
        </w:tc>
        <w:tc>
          <w:tcPr/>
          <w:p>
            <w:pPr>
              <w:pStyle w:val="Compact"/>
            </w:pPr>
            <w:r>
              <w:t xml:space="preserve">Report</w:t>
            </w:r>
          </w:p>
        </w:tc>
        <w:tc>
          <w:tcPr/>
          <w:p>
            <w:pPr>
              <w:pStyle w:val="Compact"/>
            </w:pPr>
            <w:r>
              <w:t xml:space="preserve">Total organic operational revenue growth (Q2)</w:t>
            </w:r>
          </w:p>
        </w:tc>
        <w:tc>
          <w:tcPr/>
          <w:p>
            <w:pPr>
              <w:pStyle w:val="Compact"/>
            </w:pPr>
            <w:r>
              <w:t xml:space="preserve">IN-LINE</w:t>
            </w:r>
          </w:p>
        </w:tc>
        <w:tc>
          <w:tcPr/>
          <w:p>
            <w:pPr>
              <w:pStyle w:val="Compact"/>
            </w:pPr>
            <w:r>
              <w:t xml:space="preserve">pred ~1.5% vs. cons 1.6%</w:t>
            </w:r>
          </w:p>
        </w:tc>
        <w:tc>
          <w:tcPr/>
          <w:p>
            <w:pPr>
              <w:pStyle w:val="Compact"/>
            </w:pPr>
            <w:r>
              <w:t xml:space="preserve">MEDIUM</w:t>
            </w:r>
          </w:p>
        </w:tc>
      </w:tr>
      <w:tr>
        <w:tc>
          <w:tcPr/>
          <w:p>
            <w:pPr>
              <w:pStyle w:val="Compact"/>
            </w:pPr>
            <w:r>
              <w:t xml:space="preserve">ZTS</w:t>
            </w:r>
          </w:p>
        </w:tc>
        <w:tc>
          <w:tcPr/>
          <w:p>
            <w:pPr>
              <w:pStyle w:val="Compact"/>
            </w:pPr>
            <w:r>
              <w:t xml:space="preserve">Report</w:t>
            </w:r>
          </w:p>
        </w:tc>
        <w:tc>
          <w:tcPr/>
          <w:p>
            <w:pPr>
              <w:pStyle w:val="Compact"/>
            </w:pPr>
            <w:r>
              <w:t xml:space="preserve">U.S. Companion Animal organic revenue growth (incl. Librela/derm)</w:t>
            </w:r>
          </w:p>
        </w:tc>
        <w:tc>
          <w:tcPr/>
          <w:p>
            <w:pPr>
              <w:pStyle w:val="Compact"/>
            </w:pPr>
            <w:r>
              <w:t xml:space="preserve">BEAT</w:t>
            </w:r>
          </w:p>
        </w:tc>
        <w:tc>
          <w:tcPr/>
          <w:p>
            <w:pPr>
              <w:pStyle w:val="Compact"/>
            </w:pPr>
            <w:r>
              <w:t xml:space="preserve">pred ~-4% vs. cons -7%</w:t>
            </w:r>
          </w:p>
        </w:tc>
        <w:tc>
          <w:tcPr/>
          <w:p>
            <w:pPr>
              <w:pStyle w:val="Compact"/>
            </w:pPr>
            <w:r>
              <w:t xml:space="preserve">MEDIUM</w:t>
            </w:r>
          </w:p>
        </w:tc>
      </w:tr>
      <w:tr>
        <w:tc>
          <w:tcPr/>
          <w:p>
            <w:pPr>
              <w:pStyle w:val="Compact"/>
            </w:pPr>
            <w:r>
              <w:t xml:space="preserve">ZTS</w:t>
            </w:r>
          </w:p>
        </w:tc>
        <w:tc>
          <w:tcPr/>
          <w:p>
            <w:pPr>
              <w:pStyle w:val="Compact"/>
            </w:pPr>
            <w:r>
              <w:t xml:space="preserve">Guide</w:t>
            </w:r>
          </w:p>
        </w:tc>
        <w:tc>
          <w:tcPr/>
          <w:p>
            <w:pPr>
              <w:pStyle w:val="Compact"/>
            </w:pPr>
            <w:r>
              <w:t xml:space="preserve">FY2026 organic operational revenue growth guidance</w:t>
            </w:r>
          </w:p>
        </w:tc>
        <w:tc>
          <w:tcPr/>
          <w:p>
            <w:pPr>
              <w:pStyle w:val="Compact"/>
            </w:pPr>
            <w:r>
              <w:t xml:space="preserve">UNCHANGED</w:t>
            </w:r>
          </w:p>
        </w:tc>
        <w:tc>
          <w:tcPr/>
          <w:p>
            <w:pPr>
              <w:pStyle w:val="Compact"/>
            </w:pPr>
            <w:r>
              <w:t xml:space="preserve">guide ~3.5% midpoint (2%-5% range) vs. cons ~3.5% (FY2026)</w:t>
            </w:r>
          </w:p>
        </w:tc>
        <w:tc>
          <w:tcPr/>
          <w:p>
            <w:pPr>
              <w:pStyle w:val="Compact"/>
            </w:pPr>
            <w:r>
              <w:t xml:space="preserve">HIGH</w:t>
            </w:r>
          </w:p>
        </w:tc>
      </w:tr>
      <w:tr>
        <w:tc>
          <w:tcPr/>
          <w:p>
            <w:pPr>
              <w:pStyle w:val="Compact"/>
            </w:pPr>
            <w:r>
              <w:t xml:space="preserve">ZTS</w:t>
            </w:r>
          </w:p>
        </w:tc>
        <w:tc>
          <w:tcPr/>
          <w:p>
            <w:pPr>
              <w:pStyle w:val="Compact"/>
            </w:pPr>
            <w:r>
              <w:t xml:space="preserve">Guide</w:t>
            </w:r>
          </w:p>
        </w:tc>
        <w:tc>
          <w:tcPr/>
          <w:p>
            <w:pPr>
              <w:pStyle w:val="Compact"/>
            </w:pPr>
            <w:r>
              <w:t xml:space="preserve">FY2026 adjusted EPS guidance</w:t>
            </w:r>
          </w:p>
        </w:tc>
        <w:tc>
          <w:tcPr/>
          <w:p>
            <w:pPr>
              <w:pStyle w:val="Compact"/>
            </w:pPr>
            <w:r>
              <w:t xml:space="preserve">UNCHANGED</w:t>
            </w:r>
          </w:p>
        </w:tc>
        <w:tc>
          <w:tcPr/>
          <w:p>
            <w:pPr>
              <w:pStyle w:val="Compact"/>
            </w:pPr>
            <w:r>
              <w:t xml:space="preserve">guide ~</w:t>
            </w:r>
            <m:oMath>
              <m:r>
                <m:t>6.93</m:t>
              </m:r>
              <m:r>
                <m:t>m</m:t>
              </m:r>
              <m:r>
                <m:t>i</m:t>
              </m:r>
              <m:r>
                <m:t>d</m:t>
              </m:r>
              <m:r>
                <m:t>p</m:t>
              </m:r>
              <m:r>
                <m:t>o</m:t>
              </m:r>
              <m:r>
                <m:t>i</m:t>
              </m:r>
              <m:r>
                <m:t>n</m:t>
              </m:r>
              <m:r>
                <m:t>t</m:t>
              </m:r>
              <m:r>
                <m:rPr>
                  <m:sty m:val="p"/>
                </m:rPr>
                <m:t>(</m:t>
              </m:r>
            </m:oMath>
            <w:r>
              <w:t xml:space="preserve">6.85-</w:t>
            </w:r>
            <m:oMath>
              <m:r>
                <m:t>7.00</m:t>
              </m:r>
              <m:r>
                <m:t>r</m:t>
              </m:r>
              <m:r>
                <m:t>a</m:t>
              </m:r>
              <m:r>
                <m:t>n</m:t>
              </m:r>
              <m:r>
                <m:t>g</m:t>
              </m:r>
              <m:r>
                <m:t>e</m:t>
              </m:r>
              <m:r>
                <m:rPr>
                  <m:sty m:val="p"/>
                </m:rPr>
                <m:t>)</m:t>
              </m:r>
              <m:r>
                <m:t>v</m:t>
              </m:r>
              <m:r>
                <m:t>s</m:t>
              </m:r>
              <m:r>
                <m:rPr>
                  <m:sty m:val="p"/>
                </m:rPr>
                <m:t>.</m:t>
              </m:r>
              <m:r>
                <m:t>c</m:t>
              </m:r>
              <m:r>
                <m:t>o</m:t>
              </m:r>
              <m:r>
                <m:t>n</m:t>
              </m:r>
              <m:r>
                <m:t>s</m:t>
              </m:r>
              <m:r>
                <m:t> </m:t>
              </m:r>
            </m:oMath>
            <w:r>
              <w:t xml:space="preserve">6.90 (FY2026)</w:t>
            </w:r>
          </w:p>
        </w:tc>
        <w:tc>
          <w:tcPr/>
          <w:p>
            <w:pPr>
              <w:pStyle w:val="Compact"/>
            </w:pPr>
            <w:r>
              <w:t xml:space="preserve">HIGH</w:t>
            </w:r>
          </w:p>
        </w:tc>
      </w:tr>
      <w:tr>
        <w:tc>
          <w:tcPr/>
          <w:p>
            <w:pPr>
              <w:pStyle w:val="Compact"/>
            </w:pPr>
            <w:r>
              <w:t xml:space="preserve">ZTS</w:t>
            </w:r>
          </w:p>
        </w:tc>
        <w:tc>
          <w:tcPr/>
          <w:p>
            <w:pPr>
              <w:pStyle w:val="Compact"/>
            </w:pPr>
            <w:r>
              <w:t xml:space="preserve">Guide</w:t>
            </w:r>
          </w:p>
        </w:tc>
        <w:tc>
          <w:tcPr/>
          <w:p>
            <w:pPr>
              <w:pStyle w:val="Compact"/>
            </w:pPr>
            <w:r>
              <w:t xml:space="preserve">H2 sequential dollar acceleration vs. comp-driven math (qualitative)</w:t>
            </w:r>
          </w:p>
        </w:tc>
        <w:tc>
          <w:tcPr/>
          <w:p>
            <w:pPr>
              <w:pStyle w:val="Compact"/>
            </w:pPr>
            <w:r>
              <w:t xml:space="preserve">UNKNOWN</w:t>
            </w:r>
          </w:p>
        </w:tc>
        <w:tc>
          <w:tcPr/>
          <w:p>
            <w:pPr>
              <w:pStyle w:val="Compact"/>
            </w:pPr>
            <w:r>
              <w:t xml:space="preserve">guide implies ~5% H2 organic growth vs. cons modeling ~4% H2 growth (H2 2026)</w:t>
            </w:r>
          </w:p>
        </w:tc>
        <w:tc>
          <w:tcPr/>
          <w:p>
            <w:pPr>
              <w:pStyle w:val="Compact"/>
            </w:pPr>
            <w:r>
              <w:t xml:space="preserve">LOW</w:t>
            </w:r>
          </w:p>
        </w:tc>
      </w:tr>
      <w:tr>
        <w:tc>
          <w:tcPr/>
          <w:p>
            <w:pPr>
              <w:pStyle w:val="Compact"/>
            </w:pPr>
            <w:r>
              <w:t xml:space="preserve">ZTS</w:t>
            </w:r>
          </w:p>
        </w:tc>
        <w:tc>
          <w:tcPr/>
          <w:p>
            <w:pPr>
              <w:pStyle w:val="Compact"/>
            </w:pPr>
            <w:r>
              <w:t xml:space="preserve">Return</w:t>
            </w:r>
          </w:p>
        </w:tc>
        <w:tc>
          <w:tcPr/>
          <w:p>
            <w:pPr>
              <w:pStyle w:val="Compact"/>
            </w:pPr>
            <w:r>
              <w:t xml:space="preserve">Day-1 residual (stock − beta × S&amp;P 500)</w:t>
            </w:r>
          </w:p>
        </w:tc>
        <w:tc>
          <w:tcPr/>
          <w:p>
            <w:pPr>
              <w:pStyle w:val="Compact"/>
            </w:pPr>
            <w:r>
              <w:t xml:space="preserve">+4.0%</w:t>
            </w:r>
          </w:p>
        </w:tc>
        <w:tc>
          <w:tcPr/>
          <w:p>
            <w:pPr>
              <w:pStyle w:val="Compact"/>
            </w:pPr>
            <w:r>
              <w:t xml:space="preserve">—</w:t>
            </w:r>
          </w:p>
        </w:tc>
        <w:tc>
          <w:tcPr/>
          <w:p>
            <w:pPr>
              <w:pStyle w:val="Compact"/>
            </w:pPr>
            <w:r>
              <w:t xml:space="preserve">MEDIUM</w:t>
            </w:r>
          </w:p>
        </w:tc>
      </w:tr>
      <w:tr>
        <w:tc>
          <w:tcPr/>
          <w:p>
            <w:pPr>
              <w:pStyle w:val="Compact"/>
            </w:pPr>
            <w:r>
              <w:t xml:space="preserve">ZTS</w:t>
            </w:r>
          </w:p>
        </w:tc>
        <w:tc>
          <w:tcPr/>
          <w:p>
            <w:pPr>
              <w:pStyle w:val="Compact"/>
            </w:pPr>
            <w:r>
              <w:t xml:space="preserve">Return</w:t>
            </w:r>
          </w:p>
        </w:tc>
        <w:tc>
          <w:tcPr/>
          <w:p>
            <w:pPr>
              <w:pStyle w:val="Compact"/>
            </w:pPr>
            <w:r>
              <w:t xml:space="preserve">5-day cumulative residual</w:t>
            </w:r>
          </w:p>
        </w:tc>
        <w:tc>
          <w:tcPr/>
          <w:p>
            <w:pPr>
              <w:pStyle w:val="Compact"/>
            </w:pPr>
            <w:r>
              <w:t xml:space="preserve">+1.5% (FADE)</w:t>
            </w:r>
          </w:p>
        </w:tc>
        <w:tc>
          <w:tcPr/>
          <w:p>
            <w:pPr>
              <w:pStyle w:val="Compact"/>
            </w:pPr>
            <w:r>
              <w:t xml:space="preserve">Bar was set very low after the Q1 collapse (stock down &gt;30% peak-to-trough), so an EPS beat and stabilizing Librela/derm trends should trigger an initial relief rally on day 1. However, FY guidance math still requires the back half to be driven almost entirely by easier comps rather than genuine sequential dollar acceleration in companion animal; once analysts stress-test the H2 bridge and note distributor/retail normalization and competitive pricing pressure are still live risks, some of the initial pop likely fades over the following days as estimates get only marginally revised up (or left roughly flat) rather than meaningfully upgraded.</w:t>
            </w:r>
          </w:p>
        </w:tc>
        <w:tc>
          <w:tcPr/>
          <w:p>
            <w:pPr>
              <w:pStyle w:val="Compact"/>
            </w:pPr>
            <w:r>
              <w:t xml:space="preserve">MEDIUM</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2026-08-06T00:17:32Z</dcterms:created>
  <dcterms:modified xsi:type="dcterms:W3CDTF">2026-08-06T00:17:32Z</dcterms:modified>
</cp:coreProperties>
</file>

<file path=docProps/custom.xml><?xml version="1.0" encoding="utf-8"?>
<Properties xmlns="http://schemas.openxmlformats.org/officeDocument/2006/custom-properties" xmlns:vt="http://schemas.openxmlformats.org/officeDocument/2006/docPropsVTypes"/>
</file>