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ts-earnings-predictions--2026-08-06"/>
    <w:p>
      <w:pPr>
        <w:pStyle w:val="Heading1"/>
      </w:pPr>
      <w:r>
        <w:t xml:space="preserve">ZTS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~$1.87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~$2.50B vs. cons $2.49B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operational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~1.0% vs. cons 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~$9.76B vs. cons $9.72B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~$6.93 vs. cons $6.89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operational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 vs. cons 3.3%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+1.7% (FADE)</w:t>
            </w:r>
          </w:p>
        </w:tc>
        <w:tc>
          <w:tcPr/>
          <w:p>
            <w:pPr>
              <w:pStyle w:val="Compact"/>
            </w:pPr>
            <w:r>
              <w:t xml:space="preserve">Day-5 residual ~+1.7% vs. day-1 residual ~+4.8%: an EPS beat, stabilization signals and guidance numerically above consensus should drive initial relief, but a lower organic-growth midpoint and weaker implied second-half companion-animal trajectory should pull out-period estimates down and partially reverse the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2026-08-06T00:17:58Z</dcterms:created>
  <dcterms:modified xsi:type="dcterms:W3CDTF">2026-08-06T00:17:58Z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