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anet-earnings-predictions--2026-08-04"/>
    <w:p>
      <w:pPr>
        <w:pStyle w:val="Heading1"/>
      </w:pPr>
      <w:r>
        <w:t xml:space="preserve">ANET Earnings Predictions — 2026-08-04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ANET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2Q26 revenue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~$2.87B vs. cons $2.828B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ANET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2Q26 non-GAAP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~$0.91 vs. cons $0.89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ANET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2Q26 non-GAAP gross margin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~62.7% vs. cons 62.6%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ANET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3Q26 revenue guidance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~$2.92B vs. cons $2.97B (3Q26)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ANET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revenue outlook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~$11.50B vs. cons $11.68B (FY26)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ANET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AI-fabric revenue outlook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~$3.50B vs. cons $3.50B (FY26)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ANET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non-GAAP gross-margin outlook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~63.0% midpoint vs. cons 63.0% (FY26)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ANET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-5.5%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ANET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-8.0% (FOLLOW-THROUGH)</w:t>
            </w:r>
          </w:p>
        </w:tc>
        <w:tc>
          <w:tcPr/>
          <w:p>
            <w:pPr>
              <w:pStyle w:val="Compact"/>
            </w:pPr>
            <w:r>
              <w:t xml:space="preserve">A ~$2.87B revenue beat versus</w:t>
            </w:r>
            <w:r>
              <w:t xml:space="preserve"> </w:t>
            </w:r>
            <m:oMath>
              <m:r>
                <m:t>2.828</m:t>
              </m:r>
              <m:r>
                <m:t>B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t>a</m:t>
              </m:r>
              <m:r>
                <m:t>n</m:t>
              </m:r>
              <m:r>
                <m:t>d</m:t>
              </m:r>
              <m:r>
                <m:t> </m:t>
              </m:r>
            </m:oMath>
            <w:r>
              <w:t xml:space="preserve">0.91 EPS versus</w:t>
            </w:r>
            <w:r>
              <w:t xml:space="preserve"> </w:t>
            </w:r>
            <m:oMath>
              <m:r>
                <m:t>0.89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t>w</m:t>
              </m:r>
              <m:r>
                <m:t>o</m:t>
              </m:r>
              <m:r>
                <m:t>u</m:t>
              </m:r>
              <m:r>
                <m:t>l</m:t>
              </m:r>
              <m:r>
                <m:t>d</m:t>
              </m:r>
              <m:r>
                <m:t>b</m:t>
              </m:r>
              <m:r>
                <m:t>e</m:t>
              </m:r>
              <m:r>
                <m:t>o</m:t>
              </m:r>
              <m:r>
                <m:t>u</m:t>
              </m:r>
              <m:r>
                <m:t>t</m:t>
              </m:r>
              <m:r>
                <m:t>w</m:t>
              </m:r>
              <m:r>
                <m:t>e</m:t>
              </m:r>
              <m:r>
                <m:t>i</m:t>
              </m:r>
              <m:r>
                <m:t>g</m:t>
              </m:r>
              <m:r>
                <m:t>h</m:t>
              </m:r>
              <m:r>
                <m:t>e</m:t>
              </m:r>
              <m:r>
                <m:t>d</m:t>
              </m:r>
              <m:r>
                <m:t>b</m:t>
              </m:r>
              <m:r>
                <m:t>y</m:t>
              </m:r>
              <m:r>
                <m:t>a</m:t>
              </m:r>
              <m:r>
                <m:t> </m:t>
              </m:r>
            </m:oMath>
            <w:r>
              <w:t xml:space="preserve">2.92B 3Q guide versus</w:t>
            </w:r>
            <w:r>
              <w:t xml:space="preserve"> </w:t>
            </w:r>
            <m:oMath>
              <m:r>
                <m:t>2.97</m:t>
              </m:r>
              <m:r>
                <m:t>B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t>a</m:t>
              </m:r>
              <m:r>
                <m:t>n</m:t>
              </m:r>
              <m:r>
                <m:t>d</m:t>
              </m:r>
              <m:r>
                <m:t>F</m:t>
              </m:r>
              <m:r>
                <m:t>Y</m:t>
              </m:r>
              <m:r>
                <m:t>26</m:t>
              </m:r>
              <m:r>
                <m:t>r</m:t>
              </m:r>
              <m:r>
                <m:t>e</m:t>
              </m:r>
              <m:r>
                <m:t>v</m:t>
              </m:r>
              <m:r>
                <m:t>e</m:t>
              </m:r>
              <m:r>
                <m:t>n</m:t>
              </m:r>
              <m:r>
                <m:t>u</m:t>
              </m:r>
              <m:r>
                <m:t>e</m:t>
              </m:r>
              <m:r>
                <m:t>h</m:t>
              </m:r>
              <m:r>
                <m:t>e</m:t>
              </m:r>
              <m:r>
                <m:t>l</m:t>
              </m:r>
              <m:r>
                <m:t>d</m:t>
              </m:r>
              <m:r>
                <m:t>a</m:t>
              </m:r>
              <m:r>
                <m:t>t</m:t>
              </m:r>
              <m:r>
                <m:t> </m:t>
              </m:r>
            </m:oMath>
            <w:r>
              <w:t xml:space="preserve">11.50B versus $11.68B consensus. The implicit second-half revenue math and supply-constrained shipment commentary would likely drive out-period estimate cuts after the initial reaction.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2026-08-04T01:42:28Z</dcterms:created>
  <dcterms:modified xsi:type="dcterms:W3CDTF">2026-08-04T01:42:28Z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