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gild-earnings-predictions--2026-08-04"/>
    <w:p>
      <w:pPr>
        <w:pStyle w:val="Heading1"/>
      </w:pPr>
      <w:r>
        <w:t xml:space="preserve">GILD Earnings Predictions — 2026-08-04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Product sales excluding Veklury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~$7.23B vs. cons $7.13B.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Yeztugo sales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~$235M vs. cons $220M.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Trodelvy sales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~$415M vs. cons $411M.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product sales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~$30.20B vs. cons $30.20B (FY26).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Yeztugo sales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~$1.00B vs. cons $1.05B (FY26).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reported non-GAAP EPS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rPr>
                  <m:sty m:val="p"/>
                </m:rPr>
                <m:t>(</m:t>
              </m:r>
              <m:r>
                <m:t>0.85</m:t>
              </m:r>
              <m:r>
                <m:rPr>
                  <m:sty m:val="p"/>
                </m:rPr>
                <m:t>)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(0.75) (FY26).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GILD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+0.3% (FADE)</w:t>
            </w:r>
          </w:p>
        </w:tc>
        <w:tc>
          <w:tcPr/>
          <w:p>
            <w:pPr>
              <w:pStyle w:val="Compact"/>
            </w:pPr>
            <w:r>
              <w:t xml:space="preserve">A ~+$1.5% day-1 residual should fade toward ~+0.3% by day 5: a Yeztugo/product-sales beat supports the initial move, but unchanged</w:t>
            </w:r>
            <w:r>
              <w:t xml:space="preserve"> </w:t>
            </w:r>
            <m:oMath>
              <m:r>
                <m:t>30.20</m:t>
              </m:r>
              <m:r>
                <m:t>B</m:t>
              </m:r>
              <m:r>
                <m:t>s</m:t>
              </m:r>
              <m:r>
                <m:t>a</m:t>
              </m:r>
              <m:r>
                <m:t>l</m:t>
              </m:r>
              <m:r>
                <m:t>e</m:t>
              </m:r>
              <m:r>
                <m:t>s</m:t>
              </m:r>
              <m:r>
                <m:t>g</m:t>
              </m:r>
              <m:r>
                <m:t>u</m:t>
              </m:r>
              <m:r>
                <m:t>i</m:t>
              </m:r>
              <m:r>
                <m:t>d</m:t>
              </m:r>
              <m:r>
                <m:t>a</m:t>
              </m:r>
              <m:r>
                <m:t>n</m:t>
              </m:r>
              <m:r>
                <m:t>c</m:t>
              </m:r>
              <m:r>
                <m:t>e</m:t>
              </m:r>
              <m:r>
                <m:t>a</m:t>
              </m:r>
              <m:r>
                <m:t>n</m:t>
              </m:r>
              <m:r>
                <m:t>d</m:t>
              </m:r>
              <m:r>
                <m:t>r</m:t>
              </m:r>
              <m:r>
                <m:t>e</m:t>
              </m:r>
              <m:r>
                <m:t>t</m:t>
              </m:r>
              <m:r>
                <m:t>a</m:t>
              </m:r>
              <m:r>
                <m:t>i</m:t>
              </m:r>
              <m:r>
                <m:t>n</m:t>
              </m:r>
              <m:r>
                <m:t>e</m:t>
              </m:r>
              <m:r>
                <m:t>d</m:t>
              </m:r>
              <m:r>
                <m:t> </m:t>
              </m:r>
            </m:oMath>
            <w:r>
              <w:t xml:space="preserve">1.00B Yeztugo outlook leave FY26/FY27 revenue and normalized-EPS estimates without enough upward revision for sustained follow-through.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2026-08-04T01:32:01Z</dcterms:created>
  <dcterms:modified xsi:type="dcterms:W3CDTF">2026-08-04T01:32:01Z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