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idxx-earnings-predictions--2026-08-04"/>
    <w:p>
      <w:pPr>
        <w:pStyle w:val="Heading1"/>
      </w:pPr>
      <w:r>
        <w:t xml:space="preserve">IDXX Earnings Predictions — 2026-08-04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IDXX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Q2 revenue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</w:t>
            </w:r>
            <m:oMath>
              <m:r>
                <m:t>1.216</m:t>
              </m:r>
              <m:r>
                <m:t>B</m:t>
              </m:r>
              <m:r>
                <m:t>v</m:t>
              </m:r>
              <m:r>
                <m:t>s</m:t>
              </m:r>
              <m:r>
                <m:rPr>
                  <m:sty m:val="p"/>
                </m:rPr>
                <m:t>.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 </m:t>
              </m:r>
            </m:oMath>
            <w:r>
              <w:t xml:space="preserve">1.202B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IDXX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Q2 diluted EPS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</w:t>
            </w:r>
            <m:oMath>
              <m:r>
                <m:t>3.28</m:t>
              </m:r>
              <m:r>
                <m:t>v</m:t>
              </m:r>
              <m:r>
                <m:t>s</m:t>
              </m:r>
              <m:r>
                <m:rPr>
                  <m:sty m:val="p"/>
                </m:rPr>
                <m:t>.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 </m:t>
              </m:r>
            </m:oMath>
            <w:r>
              <w:t xml:space="preserve">3.21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IDXX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CAG Diagnostics recurring organic revenue growth</w:t>
            </w:r>
          </w:p>
        </w:tc>
        <w:tc>
          <w:tcPr/>
          <w:p>
            <w:pPr>
              <w:pStyle w:val="Compact"/>
            </w:pPr>
            <w:r>
              <w:t xml:space="preserve">IN-LINE</w:t>
            </w:r>
          </w:p>
        </w:tc>
        <w:tc>
          <w:tcPr/>
          <w:p>
            <w:pPr>
              <w:pStyle w:val="Compact"/>
            </w:pPr>
            <w:r>
              <w:t xml:space="preserve">pred ~10.2% vs. cons ~9.8%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IDXX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FY2026 revenue guidance</w:t>
            </w:r>
          </w:p>
        </w:tc>
        <w:tc>
          <w:tcPr/>
          <w:p>
            <w:pPr>
              <w:pStyle w:val="Compact"/>
            </w:pPr>
            <w:r>
              <w:t xml:space="preserve">BETTER</w:t>
            </w:r>
          </w:p>
        </w:tc>
        <w:tc>
          <w:tcPr/>
          <w:p>
            <w:pPr>
              <w:pStyle w:val="Compact"/>
            </w:pPr>
            <w:r>
              <w:t xml:space="preserve">guide ~</w:t>
            </w:r>
            <m:oMath>
              <m:r>
                <m:t>4.70</m:t>
              </m:r>
              <m:r>
                <m:t>B</m:t>
              </m:r>
              <m:r>
                <m:rPr>
                  <m:sty m:val="p"/>
                </m:rPr>
                <m:t>−</m:t>
              </m:r>
            </m:oMath>
            <w:r>
              <w:t xml:space="preserve">4.79B vs. cons ~$4.75B (FY2026)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IDXX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FY2026 EPS guidance</w:t>
            </w:r>
          </w:p>
        </w:tc>
        <w:tc>
          <w:tcPr/>
          <w:p>
            <w:pPr>
              <w:pStyle w:val="Compact"/>
            </w:pPr>
            <w:r>
              <w:t xml:space="preserve">BETTER</w:t>
            </w:r>
          </w:p>
        </w:tc>
        <w:tc>
          <w:tcPr/>
          <w:p>
            <w:pPr>
              <w:pStyle w:val="Compact"/>
            </w:pPr>
            <w:r>
              <w:t xml:space="preserve">guide ~</w:t>
            </w:r>
            <m:oMath>
              <m:r>
                <m:t>14.60</m:t>
              </m:r>
              <m:r>
                <m:rPr>
                  <m:sty m:val="p"/>
                </m:rPr>
                <m:t>−</m:t>
              </m:r>
            </m:oMath>
            <w:r>
              <w:t xml:space="preserve">15.05 vs. cons ~$14.88 (FY2026)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IDXX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FY2026 CAG Diagnostics recurring organic growth guidance</w:t>
            </w:r>
          </w:p>
        </w:tc>
        <w:tc>
          <w:tcPr/>
          <w:p>
            <w:pPr>
              <w:pStyle w:val="Compact"/>
            </w:pPr>
            <w:r>
              <w:t xml:space="preserve">BETTER</w:t>
            </w:r>
          </w:p>
        </w:tc>
        <w:tc>
          <w:tcPr/>
          <w:p>
            <w:pPr>
              <w:pStyle w:val="Compact"/>
            </w:pPr>
            <w:r>
              <w:t xml:space="preserve">guide ~9.0%-11.0% vs. cons ~9.8% (FY2026)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IDXX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FY2026 U.S. same-store clinical-visit assumption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~-1.5% vs. cons ~-1.5% (FY2026)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IDXX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+4.5%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IDXX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+6.0% (FOLLOW-THROUGH)</w:t>
            </w:r>
          </w:p>
        </w:tc>
        <w:tc>
          <w:tcPr/>
          <w:p>
            <w:pPr>
              <w:pStyle w:val="Compact"/>
            </w:pPr>
            <w:r>
              <w:t xml:space="preserve">A ~</w:t>
            </w:r>
            <m:oMath>
              <m:r>
                <m:t>0.07</m:t>
              </m:r>
              <m:r>
                <m:t>E</m:t>
              </m:r>
              <m:r>
                <m:t>P</m:t>
              </m:r>
              <m:r>
                <m:t>S</m:t>
              </m:r>
              <m:r>
                <m:t>b</m:t>
              </m:r>
              <m:r>
                <m:t>e</m:t>
              </m:r>
              <m:r>
                <m:t>a</m:t>
              </m:r>
              <m:r>
                <m:t>t</m:t>
              </m:r>
              <m:r>
                <m:t>v</m:t>
              </m:r>
              <m:r>
                <m:t>e</m:t>
              </m:r>
              <m:r>
                <m:t>r</m:t>
              </m:r>
              <m:r>
                <m:t>s</m:t>
              </m:r>
              <m:r>
                <m:t>u</m:t>
              </m:r>
              <m:r>
                <m:t>s</m:t>
              </m:r>
              <m:r>
                <m:t> </m:t>
              </m:r>
            </m:oMath>
            <w:r>
              <w:t xml:space="preserve">3.21 consensus alongside a FY2026 EPS midpoint of ~</w:t>
            </w:r>
            <m:oMath>
              <m:r>
                <m:t>14.83</m:t>
              </m:r>
              <m:r>
                <m:t>v</m:t>
              </m:r>
              <m:r>
                <m:t>e</m:t>
              </m:r>
              <m:r>
                <m:t>r</m:t>
              </m:r>
              <m:r>
                <m:t>s</m:t>
              </m:r>
              <m:r>
                <m:t>u</m:t>
              </m:r>
              <m:r>
                <m:t>s</m:t>
              </m:r>
              <m:r>
                <m:t> </m:t>
              </m:r>
            </m:oMath>
            <w:r>
              <w:t xml:space="preserve">14.88 consensus initially supports upward revisions if recurring growth holds near ~10.2% versus ~9.8% consensus; the modest guide raise and durable volume/innovation mix should outweigh the instrument-revenue lap.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2026-08-04T00:46:22Z</dcterms:created>
  <dcterms:modified xsi:type="dcterms:W3CDTF">2026-08-04T00:46:22Z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