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pgr-earnings-predictions--2026-08-04"/>
    <w:p>
      <w:pPr>
        <w:pStyle w:val="Heading1"/>
      </w:pPr>
      <w:r>
        <w:t xml:space="preserve">PGR Earnings Predictions — 2026-08-04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PGR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2Q26 diluted EPS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~$5.67 vs. cons $4.73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PGR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2Q26 companywide combined ratio</w:t>
            </w:r>
          </w:p>
        </w:tc>
        <w:tc>
          <w:tcPr/>
          <w:p>
            <w:pPr>
              <w:pStyle w:val="Compact"/>
            </w:pPr>
            <w:r>
              <w:t xml:space="preserve">MISS</w:t>
            </w:r>
          </w:p>
        </w:tc>
        <w:tc>
          <w:tcPr/>
          <w:p>
            <w:pPr>
              <w:pStyle w:val="Compact"/>
            </w:pPr>
            <w:r>
              <w:t xml:space="preserve">pred ~87.3 vs. cons 86.2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PGR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June total policies in force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~40.09M vs. cons 39.50M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PGR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Implied 2H26 underwriting margin / combined-ratio outlook</w:t>
            </w:r>
          </w:p>
        </w:tc>
        <w:tc>
          <w:tcPr/>
          <w:p>
            <w:pPr>
              <w:pStyle w:val="Compact"/>
            </w:pPr>
            <w:r>
              <w:t xml:space="preserve">LOWER</w:t>
            </w:r>
          </w:p>
        </w:tc>
        <w:tc>
          <w:tcPr/>
          <w:p>
            <w:pPr>
              <w:pStyle w:val="Compact"/>
            </w:pPr>
            <w:r>
              <w:t xml:space="preserve">guide ~10.0% underwriting margin vs. cons 11.0% (2H26)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PGR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Personal-auto net rate-action outlook</w:t>
            </w:r>
          </w:p>
        </w:tc>
        <w:tc>
          <w:tcPr/>
          <w:p>
            <w:pPr>
              <w:pStyle w:val="Compact"/>
            </w:pPr>
            <w:r>
              <w:t xml:space="preserve">LOWER</w:t>
            </w:r>
          </w:p>
        </w:tc>
        <w:tc>
          <w:tcPr/>
          <w:p>
            <w:pPr>
              <w:pStyle w:val="Compact"/>
            </w:pPr>
            <w:r>
              <w:t xml:space="preserve">guide ~-1.0% net rate change vs. cons +1.0% (2H26)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PGR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Personal-auto policy-life-expectancy trend</w:t>
            </w:r>
          </w:p>
        </w:tc>
        <w:tc>
          <w:tcPr/>
          <w:p>
            <w:pPr>
              <w:pStyle w:val="Compact"/>
            </w:pPr>
            <w:r>
              <w:t xml:space="preserve">LOWER</w:t>
            </w:r>
          </w:p>
        </w:tc>
        <w:tc>
          <w:tcPr/>
          <w:p>
            <w:pPr>
              <w:pStyle w:val="Compact"/>
            </w:pPr>
            <w:r>
              <w:t xml:space="preserve">guide ~-8.0% YoY vs. cons -4.0% YoY (2H26)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PGR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-1.8%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PGR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-3.5% (FOLLOW-THROUGH)</w:t>
            </w:r>
          </w:p>
        </w:tc>
        <w:tc>
          <w:tcPr/>
          <w:p>
            <w:pPr>
              <w:pStyle w:val="Compact"/>
            </w:pPr>
            <w:r>
              <w:t xml:space="preserve">The EPS and policy-count beat is already reported, leaving the call to validate a weaker out-period setup: ~10.0% implied 2H underwriting margin versus ~11.0% consensus and ~-1.0% rate action versus +1.0% consensus. Confirmation of softer retention and continued severity/advertising pressure should pull forward EPS and underwriting estimates lower after the call rather than support a relief bounce.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2026-08-04T01:23:21Z</dcterms:created>
  <dcterms:modified xsi:type="dcterms:W3CDTF">2026-08-04T01:23:21Z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