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CAF5D" w14:textId="77777777" w:rsidR="00187646" w:rsidRPr="00CE1907" w:rsidRDefault="00187646" w:rsidP="00187646">
      <w:pPr>
        <w:tabs>
          <w:tab w:val="left" w:pos="90"/>
        </w:tabs>
        <w:rPr>
          <w:b/>
          <w:lang w:val="en-GB"/>
        </w:rPr>
      </w:pPr>
      <w:r w:rsidRPr="00CE1907">
        <w:rPr>
          <w:b/>
          <w:lang w:val="en-GB"/>
        </w:rPr>
        <w:t xml:space="preserve">Table 1: 4-C/ID </w:t>
      </w:r>
      <w:r>
        <w:rPr>
          <w:b/>
          <w:lang w:val="en-GB"/>
        </w:rPr>
        <w:t>Outline</w:t>
      </w:r>
      <w:r w:rsidRPr="00CE1907">
        <w:rPr>
          <w:b/>
          <w:lang w:val="en-GB"/>
        </w:rPr>
        <w:t xml:space="preserve"> </w:t>
      </w:r>
      <w:r w:rsidRPr="00CE1907">
        <w:rPr>
          <w:b/>
          <w:lang w:val="en-GB"/>
        </w:rPr>
        <w:t>for Task Class 1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4068"/>
        <w:gridCol w:w="2970"/>
        <w:gridCol w:w="1710"/>
      </w:tblGrid>
      <w:tr w:rsidR="00187646" w:rsidRPr="00CE1907" w14:paraId="563F411B" w14:textId="77777777" w:rsidTr="00E05B37">
        <w:trPr>
          <w:trHeight w:val="170"/>
        </w:trPr>
        <w:tc>
          <w:tcPr>
            <w:tcW w:w="87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A0573B" w14:textId="77777777" w:rsidR="00187646" w:rsidRPr="00CE1907" w:rsidRDefault="00187646" w:rsidP="00E05B37">
            <w:pPr>
              <w:tabs>
                <w:tab w:val="left" w:pos="90"/>
              </w:tabs>
              <w:ind w:right="-18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Task Class 1 Description:</w:t>
            </w:r>
          </w:p>
        </w:tc>
      </w:tr>
      <w:tr w:rsidR="00187646" w:rsidRPr="00CE1907" w14:paraId="36C00594" w14:textId="77777777" w:rsidTr="00E05B37">
        <w:trPr>
          <w:trHeight w:val="3932"/>
        </w:trPr>
        <w:tc>
          <w:tcPr>
            <w:tcW w:w="874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3B19E5F" w14:textId="77777777" w:rsidR="00187646" w:rsidRPr="00CE1907" w:rsidRDefault="00187646" w:rsidP="00E05B37">
            <w:pPr>
              <w:tabs>
                <w:tab w:val="left" w:pos="90"/>
              </w:tabs>
              <w:ind w:right="-18"/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Context:  </w:t>
            </w:r>
          </w:p>
          <w:p w14:paraId="60157C20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Casual, no distractions, classroom or simulated environment</w:t>
            </w:r>
          </w:p>
          <w:p w14:paraId="3347BAC2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Audience of supportive peers and faculty</w:t>
            </w:r>
          </w:p>
          <w:p w14:paraId="61D463DD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Ample time allowed to process information; no time limits on </w:t>
            </w:r>
            <w:r>
              <w:rPr>
                <w:sz w:val="16"/>
                <w:szCs w:val="16"/>
                <w:lang w:val="en-GB"/>
              </w:rPr>
              <w:t>case presentation</w:t>
            </w:r>
            <w:r>
              <w:rPr>
                <w:rFonts w:asciiTheme="minorHAnsi" w:hAnsiTheme="minorHAnsi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delivery</w:t>
            </w:r>
          </w:p>
          <w:p w14:paraId="2C0808C0" w14:textId="77777777" w:rsidR="00187646" w:rsidRPr="00CE1907" w:rsidRDefault="00187646" w:rsidP="00E05B37">
            <w:pPr>
              <w:tabs>
                <w:tab w:val="left" w:pos="90"/>
              </w:tabs>
              <w:ind w:right="-18"/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Public Speaking Skills: </w:t>
            </w:r>
          </w:p>
          <w:p w14:paraId="4B448411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Focus on the process of telling a story</w:t>
            </w:r>
          </w:p>
          <w:p w14:paraId="1E8B639C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Work on a delivery that is confident, natural and engaging</w:t>
            </w:r>
          </w:p>
          <w:p w14:paraId="64790C92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Become cognizant of eye contact, posture, gestures, modulation, fluency and pace, nervous tics and filler words </w:t>
            </w:r>
          </w:p>
          <w:p w14:paraId="12E42006" w14:textId="77777777" w:rsidR="00187646" w:rsidRPr="00CE1907" w:rsidRDefault="00187646" w:rsidP="00E05B37">
            <w:pPr>
              <w:pStyle w:val="ListParagraph"/>
              <w:numPr>
                <w:ilvl w:val="0"/>
                <w:numId w:val="1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May rely heavily on notes</w:t>
            </w:r>
          </w:p>
          <w:p w14:paraId="54AD37A2" w14:textId="77777777" w:rsidR="00187646" w:rsidRPr="00CE1907" w:rsidRDefault="00187646" w:rsidP="00E05B37">
            <w:pPr>
              <w:tabs>
                <w:tab w:val="left" w:pos="90"/>
              </w:tabs>
              <w:ind w:right="-18"/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Organization:</w:t>
            </w:r>
          </w:p>
          <w:p w14:paraId="143C1733" w14:textId="77777777" w:rsidR="00187646" w:rsidRDefault="00187646" w:rsidP="00E05B37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Tell a logical, chronologic story of a straightforward case using data only from a single source </w:t>
            </w:r>
          </w:p>
          <w:p w14:paraId="6052AEBB" w14:textId="77777777" w:rsidR="00187646" w:rsidRPr="0023057E" w:rsidRDefault="00187646" w:rsidP="00E05B37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23057E">
              <w:rPr>
                <w:rFonts w:asciiTheme="minorHAnsi" w:hAnsiTheme="minorHAnsi"/>
                <w:sz w:val="16"/>
                <w:szCs w:val="16"/>
                <w:lang w:val="en-GB"/>
              </w:rPr>
              <w:t>Make sure components are generally in the right place (SOAP</w:t>
            </w:r>
            <w:r w:rsidRPr="0023057E">
              <w:rPr>
                <w:b/>
                <w:bCs/>
                <w:vertAlign w:val="superscript"/>
                <w:lang w:val="en-GB"/>
              </w:rPr>
              <w:t>†</w:t>
            </w:r>
            <w:r w:rsidRPr="0023057E">
              <w:rPr>
                <w:rFonts w:asciiTheme="minorHAnsi" w:hAnsiTheme="minorHAnsi"/>
                <w:sz w:val="16"/>
                <w:szCs w:val="16"/>
                <w:lang w:val="en-GB"/>
              </w:rPr>
              <w:t>)</w:t>
            </w:r>
          </w:p>
          <w:p w14:paraId="5F062668" w14:textId="77777777" w:rsidR="00187646" w:rsidRPr="00CE1907" w:rsidRDefault="00187646" w:rsidP="00E05B37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Follow a standard internal medicine style format being inclusive of data (pertinent +/- is deferred until later)</w:t>
            </w:r>
          </w:p>
          <w:p w14:paraId="09FC41E5" w14:textId="77777777" w:rsidR="00187646" w:rsidRPr="00CE1907" w:rsidRDefault="00187646" w:rsidP="00E05B37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Assessment (1 sentence summary), plan (brief)</w:t>
            </w:r>
          </w:p>
          <w:p w14:paraId="2D78A710" w14:textId="77777777" w:rsidR="00187646" w:rsidRPr="00CE1907" w:rsidRDefault="00187646" w:rsidP="00E05B37">
            <w:pPr>
              <w:tabs>
                <w:tab w:val="left" w:pos="90"/>
              </w:tabs>
              <w:ind w:right="-18"/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Clinical Reasoning / Knowledge: </w:t>
            </w:r>
          </w:p>
          <w:p w14:paraId="08ADE57C" w14:textId="77777777" w:rsidR="00187646" w:rsidRPr="00CE1907" w:rsidRDefault="00187646" w:rsidP="00E05B37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Simple, involving one problem, few possible systems, leading to a limited differential diagnosis of common diseases</w:t>
            </w:r>
          </w:p>
          <w:p w14:paraId="12498344" w14:textId="77777777" w:rsidR="00187646" w:rsidRPr="00CE1907" w:rsidRDefault="00187646" w:rsidP="00E05B37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Knowledge of definitions and terms is presumed low </w:t>
            </w:r>
          </w:p>
          <w:p w14:paraId="293D8A8A" w14:textId="77777777" w:rsidR="00187646" w:rsidRPr="00CE1907" w:rsidRDefault="00187646" w:rsidP="00E05B37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Layman terms are acceptable or definitions are provided </w:t>
            </w:r>
          </w:p>
          <w:p w14:paraId="38F8AADF" w14:textId="77777777" w:rsidR="00187646" w:rsidRPr="00CE1907" w:rsidRDefault="00187646" w:rsidP="00E05B37">
            <w:pPr>
              <w:pStyle w:val="ListParagraph"/>
              <w:numPr>
                <w:ilvl w:val="0"/>
                <w:numId w:val="3"/>
              </w:numPr>
              <w:tabs>
                <w:tab w:val="left" w:pos="90"/>
              </w:tabs>
              <w:ind w:left="540" w:right="-18" w:hanging="270"/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CE1907">
              <w:rPr>
                <w:rFonts w:asciiTheme="minorHAnsi" w:hAnsiTheme="minorHAnsi"/>
                <w:sz w:val="16"/>
                <w:szCs w:val="16"/>
                <w:lang w:val="en-GB"/>
              </w:rPr>
              <w:t>Classic disease representations are used with explanations</w:t>
            </w:r>
          </w:p>
        </w:tc>
      </w:tr>
      <w:tr w:rsidR="00187646" w:rsidRPr="00CE1907" w14:paraId="23A1D7E6" w14:textId="77777777" w:rsidTr="00E05B37">
        <w:trPr>
          <w:trHeight w:val="170"/>
        </w:trPr>
        <w:tc>
          <w:tcPr>
            <w:tcW w:w="8748" w:type="dxa"/>
            <w:gridSpan w:val="3"/>
            <w:shd w:val="clear" w:color="auto" w:fill="BFBFBF" w:themeFill="background1" w:themeFillShade="BF"/>
          </w:tcPr>
          <w:p w14:paraId="7FA2CD10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Supportive Information (given prior to activities)</w:t>
            </w:r>
          </w:p>
        </w:tc>
      </w:tr>
      <w:tr w:rsidR="00187646" w:rsidRPr="00CE1907" w14:paraId="74C38798" w14:textId="77777777" w:rsidTr="00E05B37">
        <w:trPr>
          <w:trHeight w:val="899"/>
        </w:trPr>
        <w:tc>
          <w:tcPr>
            <w:tcW w:w="8748" w:type="dxa"/>
            <w:gridSpan w:val="3"/>
          </w:tcPr>
          <w:p w14:paraId="12E45A6A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8"/>
                <w:szCs w:val="18"/>
                <w:lang w:val="en-GB"/>
              </w:rPr>
              <w:t>Le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cture on </w:t>
            </w:r>
            <w:r>
              <w:rPr>
                <w:rFonts w:cs="Times New Roman"/>
                <w:sz w:val="16"/>
                <w:szCs w:val="16"/>
                <w:lang w:val="en-GB"/>
              </w:rPr>
              <w:t xml:space="preserve">case presentation 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>content and process of public speaking</w:t>
            </w:r>
          </w:p>
          <w:p w14:paraId="5D6D4F66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Systematic Approach to Problem Solving: public speaking guidelines</w:t>
            </w:r>
          </w:p>
          <w:p w14:paraId="458BF36A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Systematic Approach to Problem Solving: task class 1 </w:t>
            </w:r>
            <w:r>
              <w:rPr>
                <w:rFonts w:cs="Times New Roman"/>
                <w:sz w:val="16"/>
                <w:szCs w:val="16"/>
                <w:lang w:val="en-GB"/>
              </w:rPr>
              <w:t>case presentation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 checklist (Appendix 1) with simplified assessment (1-2 sentence summary and brief plan)</w:t>
            </w:r>
          </w:p>
          <w:p w14:paraId="250610E9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SOAP overview and exercise reorganizing mixed up data</w:t>
            </w:r>
          </w:p>
        </w:tc>
      </w:tr>
      <w:tr w:rsidR="00187646" w:rsidRPr="00CE1907" w14:paraId="05388931" w14:textId="77777777" w:rsidTr="00E05B37">
        <w:trPr>
          <w:trHeight w:val="170"/>
        </w:trPr>
        <w:tc>
          <w:tcPr>
            <w:tcW w:w="8748" w:type="dxa"/>
            <w:gridSpan w:val="3"/>
            <w:shd w:val="clear" w:color="auto" w:fill="BFBFBF" w:themeFill="background1" w:themeFillShade="BF"/>
          </w:tcPr>
          <w:p w14:paraId="0C35C0F7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Learning Task 1.1</w:t>
            </w:r>
          </w:p>
        </w:tc>
      </w:tr>
      <w:tr w:rsidR="00187646" w:rsidRPr="00CE1907" w14:paraId="7ABA8C3E" w14:textId="77777777" w:rsidTr="00E05B37">
        <w:trPr>
          <w:trHeight w:val="485"/>
        </w:trPr>
        <w:tc>
          <w:tcPr>
            <w:tcW w:w="8748" w:type="dxa"/>
            <w:gridSpan w:val="3"/>
          </w:tcPr>
          <w:p w14:paraId="64F3DEE3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Watch recorded </w:t>
            </w:r>
            <w:r>
              <w:rPr>
                <w:rFonts w:cs="Times New Roman"/>
                <w:sz w:val="16"/>
                <w:szCs w:val="16"/>
                <w:lang w:val="en-GB"/>
              </w:rPr>
              <w:t>case presentation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 of a chest pain case. Analyse using Task Class 1 </w:t>
            </w:r>
            <w:r>
              <w:rPr>
                <w:rFonts w:cs="Times New Roman"/>
                <w:sz w:val="16"/>
                <w:szCs w:val="16"/>
                <w:lang w:val="en-GB"/>
              </w:rPr>
              <w:t>case presentation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 checklist and public speaking guidelines. Discuss with peers and faculty in class.</w:t>
            </w:r>
          </w:p>
        </w:tc>
      </w:tr>
      <w:tr w:rsidR="00187646" w:rsidRPr="00CE1907" w14:paraId="0511F69F" w14:textId="77777777" w:rsidTr="00E05B37">
        <w:trPr>
          <w:trHeight w:val="233"/>
        </w:trPr>
        <w:tc>
          <w:tcPr>
            <w:tcW w:w="4068" w:type="dxa"/>
            <w:shd w:val="clear" w:color="auto" w:fill="BFBFBF" w:themeFill="background1" w:themeFillShade="BF"/>
          </w:tcPr>
          <w:p w14:paraId="61A3284C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Learning Task 1.2</w:t>
            </w:r>
          </w:p>
        </w:tc>
        <w:tc>
          <w:tcPr>
            <w:tcW w:w="4680" w:type="dxa"/>
            <w:gridSpan w:val="2"/>
            <w:shd w:val="clear" w:color="auto" w:fill="BFBFBF" w:themeFill="background1" w:themeFillShade="BF"/>
          </w:tcPr>
          <w:p w14:paraId="4B4DDC87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Just-in-Time Information</w:t>
            </w:r>
          </w:p>
        </w:tc>
      </w:tr>
      <w:tr w:rsidR="00187646" w:rsidRPr="00CE1907" w14:paraId="0EA6E43D" w14:textId="77777777" w:rsidTr="00E05B37">
        <w:trPr>
          <w:trHeight w:val="674"/>
        </w:trPr>
        <w:tc>
          <w:tcPr>
            <w:tcW w:w="4068" w:type="dxa"/>
          </w:tcPr>
          <w:p w14:paraId="1D2EE17E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Read a written interview transcript of a logically organized, simple case (e.g. 6-year old falls out of a tree and injures wrist). Practice telling the story to a peer.</w:t>
            </w:r>
          </w:p>
        </w:tc>
        <w:tc>
          <w:tcPr>
            <w:tcW w:w="4680" w:type="dxa"/>
            <w:gridSpan w:val="2"/>
          </w:tcPr>
          <w:p w14:paraId="2A8D6D4D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Provide information on wrist fractures versus sprain. Give feedback during activity focused on public speaking skills.</w:t>
            </w:r>
          </w:p>
        </w:tc>
      </w:tr>
      <w:tr w:rsidR="00187646" w:rsidRPr="00CE1907" w14:paraId="4A4C737B" w14:textId="77777777" w:rsidTr="00E05B37">
        <w:trPr>
          <w:trHeight w:val="170"/>
        </w:trPr>
        <w:tc>
          <w:tcPr>
            <w:tcW w:w="4068" w:type="dxa"/>
            <w:shd w:val="clear" w:color="auto" w:fill="BFBFBF" w:themeFill="background1" w:themeFillShade="BF"/>
          </w:tcPr>
          <w:p w14:paraId="338EB3A8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Learning Task 1.3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048EF00E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Just-in-Time Information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7A9BE927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b/>
                <w:sz w:val="18"/>
                <w:szCs w:val="18"/>
                <w:lang w:val="en-GB"/>
              </w:rPr>
              <w:t>Part-Task Practice</w:t>
            </w:r>
          </w:p>
        </w:tc>
      </w:tr>
      <w:tr w:rsidR="00187646" w:rsidRPr="00CE1907" w14:paraId="41CF4586" w14:textId="77777777" w:rsidTr="00E05B37">
        <w:trPr>
          <w:trHeight w:val="1223"/>
        </w:trPr>
        <w:tc>
          <w:tcPr>
            <w:tcW w:w="4068" w:type="dxa"/>
          </w:tcPr>
          <w:p w14:paraId="71F70854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Watch a video of a well-organized history and physical of a simple case (20-year old with past medical history of asthma presenting with wheezing and shortness of breath). Deliver </w:t>
            </w:r>
            <w:r>
              <w:rPr>
                <w:rFonts w:cs="Times New Roman"/>
                <w:sz w:val="16"/>
                <w:szCs w:val="16"/>
                <w:lang w:val="en-GB"/>
              </w:rPr>
              <w:t>case presentation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 to faculty following basic organizational structure of </w:t>
            </w:r>
            <w:r>
              <w:rPr>
                <w:rFonts w:cs="Times New Roman"/>
                <w:sz w:val="16"/>
                <w:szCs w:val="16"/>
                <w:lang w:val="en-GB"/>
              </w:rPr>
              <w:t xml:space="preserve">case presentation 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>checklist, considering SOAP. May rely heavily on notes.</w:t>
            </w:r>
          </w:p>
        </w:tc>
        <w:tc>
          <w:tcPr>
            <w:tcW w:w="2970" w:type="dxa"/>
          </w:tcPr>
          <w:p w14:paraId="2D0765C5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Provide information on asthma to aid organization, pulmonary review of systems (ROS</w:t>
            </w:r>
            <w:r w:rsidRPr="00CE1907">
              <w:rPr>
                <w:rFonts w:cs="Times New Roman"/>
                <w:sz w:val="16"/>
                <w:szCs w:val="16"/>
                <w:vertAlign w:val="superscript"/>
                <w:lang w:val="en-GB"/>
              </w:rPr>
              <w:t>‡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>) / physical exam (PE</w:t>
            </w:r>
            <w:r w:rsidRPr="00CE1907">
              <w:rPr>
                <w:rFonts w:cs="Times New Roman"/>
                <w:sz w:val="16"/>
                <w:szCs w:val="16"/>
                <w:vertAlign w:val="superscript"/>
                <w:lang w:val="en-GB"/>
              </w:rPr>
              <w:t>§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) descriptors. Give feedback focused </w:t>
            </w:r>
            <w:proofErr w:type="gramStart"/>
            <w:r w:rsidRPr="00CE1907">
              <w:rPr>
                <w:rFonts w:cs="Times New Roman"/>
                <w:sz w:val="16"/>
                <w:szCs w:val="16"/>
                <w:lang w:val="en-GB"/>
              </w:rPr>
              <w:t>on</w:t>
            </w:r>
            <w:r>
              <w:rPr>
                <w:rFonts w:cs="Times New Roman"/>
                <w:sz w:val="16"/>
                <w:szCs w:val="16"/>
                <w:lang w:val="en-GB"/>
              </w:rPr>
              <w:t xml:space="preserve">  case</w:t>
            </w:r>
            <w:proofErr w:type="gramEnd"/>
            <w:r>
              <w:rPr>
                <w:rFonts w:cs="Times New Roman"/>
                <w:sz w:val="16"/>
                <w:szCs w:val="16"/>
                <w:lang w:val="en-GB"/>
              </w:rPr>
              <w:t xml:space="preserve"> presentation 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>organization.</w:t>
            </w:r>
          </w:p>
        </w:tc>
        <w:tc>
          <w:tcPr>
            <w:tcW w:w="1710" w:type="dxa"/>
          </w:tcPr>
          <w:p w14:paraId="0FD7F5BC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</w:p>
          <w:p w14:paraId="6AFAE57E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</w:p>
          <w:p w14:paraId="3642F574" w14:textId="77777777" w:rsidR="00187646" w:rsidRPr="00CE1907" w:rsidRDefault="00187646" w:rsidP="00E05B37">
            <w:pPr>
              <w:tabs>
                <w:tab w:val="left" w:pos="90"/>
              </w:tabs>
              <w:rPr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ROS / PE findings</w:t>
            </w:r>
          </w:p>
        </w:tc>
      </w:tr>
      <w:tr w:rsidR="00187646" w:rsidRPr="00CE1907" w14:paraId="548DFCAF" w14:textId="77777777" w:rsidTr="00E05B37">
        <w:trPr>
          <w:trHeight w:val="184"/>
        </w:trPr>
        <w:tc>
          <w:tcPr>
            <w:tcW w:w="4068" w:type="dxa"/>
            <w:shd w:val="clear" w:color="auto" w:fill="BFBFBF" w:themeFill="background1" w:themeFillShade="BF"/>
          </w:tcPr>
          <w:p w14:paraId="47AAEC1D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Learning Task 1.4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0330E47D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b/>
                <w:sz w:val="18"/>
                <w:szCs w:val="18"/>
                <w:lang w:val="en-GB"/>
              </w:rPr>
              <w:t>Just-in-Time Information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05BA3B9F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b/>
                <w:sz w:val="18"/>
                <w:szCs w:val="18"/>
                <w:lang w:val="en-GB"/>
              </w:rPr>
              <w:t>Part-Task Practice</w:t>
            </w:r>
          </w:p>
        </w:tc>
      </w:tr>
      <w:tr w:rsidR="00187646" w:rsidRPr="00CE1907" w14:paraId="33429E97" w14:textId="77777777" w:rsidTr="00E05B37">
        <w:trPr>
          <w:trHeight w:val="872"/>
        </w:trPr>
        <w:tc>
          <w:tcPr>
            <w:tcW w:w="4068" w:type="dxa"/>
          </w:tcPr>
          <w:p w14:paraId="66239FB4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Interview a standardized patient with dysuria, frequency and low back pain. Deliver </w:t>
            </w:r>
            <w:r>
              <w:rPr>
                <w:rFonts w:cs="Times New Roman"/>
                <w:sz w:val="16"/>
                <w:szCs w:val="16"/>
                <w:lang w:val="en-GB"/>
              </w:rPr>
              <w:t>case presentation</w:t>
            </w:r>
            <w:r w:rsidRPr="00CE1907">
              <w:rPr>
                <w:rFonts w:cs="Times New Roman"/>
                <w:sz w:val="16"/>
                <w:szCs w:val="16"/>
                <w:lang w:val="en-GB"/>
              </w:rPr>
              <w:t xml:space="preserve"> to faculty and peers in simulation centre.  </w:t>
            </w:r>
          </w:p>
        </w:tc>
        <w:tc>
          <w:tcPr>
            <w:tcW w:w="2970" w:type="dxa"/>
          </w:tcPr>
          <w:p w14:paraId="7FB29AA6" w14:textId="77777777" w:rsidR="00187646" w:rsidRPr="00CE1907" w:rsidRDefault="00187646" w:rsidP="00E05B37">
            <w:pPr>
              <w:tabs>
                <w:tab w:val="left" w:pos="90"/>
              </w:tabs>
              <w:rPr>
                <w:rFonts w:cs="Times New Roman"/>
                <w:sz w:val="16"/>
                <w:szCs w:val="16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Provide information on differentiating urinary tract infection from pyelonephritis. Give feedback on public speaking skills and organization.</w:t>
            </w:r>
          </w:p>
        </w:tc>
        <w:tc>
          <w:tcPr>
            <w:tcW w:w="1710" w:type="dxa"/>
          </w:tcPr>
          <w:p w14:paraId="01E3BF7B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</w:p>
          <w:p w14:paraId="193577D3" w14:textId="77777777" w:rsidR="00187646" w:rsidRPr="00CE1907" w:rsidRDefault="00187646" w:rsidP="00E05B37">
            <w:pPr>
              <w:tabs>
                <w:tab w:val="left" w:pos="90"/>
              </w:tabs>
              <w:rPr>
                <w:b/>
                <w:sz w:val="18"/>
                <w:szCs w:val="18"/>
                <w:lang w:val="en-GB"/>
              </w:rPr>
            </w:pPr>
            <w:r w:rsidRPr="00CE1907">
              <w:rPr>
                <w:rFonts w:cs="Times New Roman"/>
                <w:sz w:val="16"/>
                <w:szCs w:val="16"/>
                <w:lang w:val="en-GB"/>
              </w:rPr>
              <w:t>ROS / PE findings</w:t>
            </w:r>
          </w:p>
        </w:tc>
      </w:tr>
    </w:tbl>
    <w:p w14:paraId="1DCAD588" w14:textId="77777777" w:rsidR="00187646" w:rsidRPr="00CE1907" w:rsidRDefault="00187646" w:rsidP="00187646">
      <w:pPr>
        <w:pStyle w:val="p1"/>
        <w:rPr>
          <w:lang w:val="en-GB"/>
        </w:rPr>
      </w:pPr>
      <w:r w:rsidRPr="00CE1907">
        <w:rPr>
          <w:b/>
          <w:bCs/>
          <w:lang w:val="en-GB"/>
        </w:rPr>
        <w:t xml:space="preserve">† </w:t>
      </w:r>
      <w:r w:rsidRPr="00CE1907">
        <w:rPr>
          <w:sz w:val="18"/>
          <w:szCs w:val="18"/>
          <w:lang w:val="en-GB"/>
        </w:rPr>
        <w:t xml:space="preserve">SOAP </w:t>
      </w:r>
      <w:r w:rsidRPr="00CE1907">
        <w:rPr>
          <w:sz w:val="16"/>
          <w:szCs w:val="16"/>
          <w:lang w:val="en-GB"/>
        </w:rPr>
        <w:t xml:space="preserve">Subjective, Objective, Assessment, and Plan; ‡ ROS review of systems; </w:t>
      </w:r>
      <w:r w:rsidRPr="00CE1907">
        <w:rPr>
          <w:b/>
          <w:bCs/>
          <w:lang w:val="en-GB"/>
        </w:rPr>
        <w:t>§</w:t>
      </w:r>
      <w:r w:rsidRPr="00CE1907">
        <w:rPr>
          <w:lang w:val="en-GB"/>
        </w:rPr>
        <w:t xml:space="preserve"> </w:t>
      </w:r>
      <w:r w:rsidRPr="00CE1907">
        <w:rPr>
          <w:sz w:val="16"/>
          <w:szCs w:val="16"/>
          <w:lang w:val="en-GB"/>
        </w:rPr>
        <w:t>PE physical exam</w:t>
      </w:r>
    </w:p>
    <w:p w14:paraId="096E919C" w14:textId="77777777" w:rsidR="00963C1F" w:rsidRDefault="00963C1F">
      <w:bookmarkStart w:id="0" w:name="_GoBack"/>
      <w:bookmarkEnd w:id="0"/>
    </w:p>
    <w:sectPr w:rsidR="00963C1F" w:rsidSect="00EC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E00F8"/>
    <w:multiLevelType w:val="hybridMultilevel"/>
    <w:tmpl w:val="2CC4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2FC2"/>
    <w:multiLevelType w:val="hybridMultilevel"/>
    <w:tmpl w:val="BE36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268E0"/>
    <w:multiLevelType w:val="hybridMultilevel"/>
    <w:tmpl w:val="6A9C6D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46"/>
    <w:rsid w:val="00187646"/>
    <w:rsid w:val="00963C1F"/>
    <w:rsid w:val="009A4233"/>
    <w:rsid w:val="00D2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1D4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646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87646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187646"/>
    <w:rPr>
      <w:rFonts w:ascii="Times" w:eastAsiaTheme="minorHAnsi" w:hAnsi="Times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2704</Characters>
  <Application>Microsoft Macintosh Word</Application>
  <DocSecurity>0</DocSecurity>
  <Lines>22</Lines>
  <Paragraphs>6</Paragraphs>
  <ScaleCrop>false</ScaleCrop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Daniel</dc:creator>
  <cp:keywords/>
  <dc:description/>
  <cp:lastModifiedBy>Michelle Daniel</cp:lastModifiedBy>
  <cp:revision>1</cp:revision>
  <dcterms:created xsi:type="dcterms:W3CDTF">2018-02-07T14:10:00Z</dcterms:created>
  <dcterms:modified xsi:type="dcterms:W3CDTF">2018-02-07T14:10:00Z</dcterms:modified>
</cp:coreProperties>
</file>