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DF787" w14:textId="4C0458A5" w:rsidR="00EF10D8" w:rsidRPr="00AF440D" w:rsidRDefault="00EF10D8" w:rsidP="00EF10D8">
      <w:pPr>
        <w:spacing w:afterLines="60" w:after="144"/>
        <w:rPr>
          <w:rFonts w:ascii="Arial" w:hAnsi="Arial" w:cs="Arial"/>
          <w:b/>
          <w:bCs/>
          <w:sz w:val="20"/>
          <w:szCs w:val="20"/>
        </w:rPr>
      </w:pPr>
      <w:r w:rsidRPr="00AF440D">
        <w:rPr>
          <w:rFonts w:ascii="Arial" w:hAnsi="Arial" w:cs="Arial"/>
          <w:b/>
          <w:bCs/>
          <w:sz w:val="20"/>
          <w:szCs w:val="20"/>
        </w:rPr>
        <w:t>Appendix 1: Delphi Instruments</w:t>
      </w:r>
    </w:p>
    <w:p w14:paraId="080DFD38" w14:textId="77777777" w:rsidR="00EF10D8" w:rsidRPr="00AF440D" w:rsidRDefault="00EF10D8" w:rsidP="00EF10D8">
      <w:pPr>
        <w:spacing w:afterLines="60" w:after="144"/>
        <w:rPr>
          <w:rFonts w:ascii="Arial" w:hAnsi="Arial" w:cs="Arial"/>
          <w:sz w:val="20"/>
          <w:szCs w:val="20"/>
        </w:rPr>
      </w:pPr>
    </w:p>
    <w:p w14:paraId="1BB7F489"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w:t>
      </w:r>
    </w:p>
    <w:p w14:paraId="7B2CDF2B" w14:textId="77777777" w:rsidR="00EF10D8" w:rsidRPr="00AF440D" w:rsidRDefault="00EF10D8" w:rsidP="00EF10D8">
      <w:pPr>
        <w:spacing w:afterLines="60" w:after="144"/>
        <w:rPr>
          <w:rFonts w:ascii="Arial" w:hAnsi="Arial" w:cs="Arial"/>
          <w:b/>
          <w:bCs/>
          <w:sz w:val="20"/>
          <w:szCs w:val="20"/>
        </w:rPr>
      </w:pPr>
      <w:r w:rsidRPr="00AF440D">
        <w:rPr>
          <w:rFonts w:ascii="Arial" w:hAnsi="Arial" w:cs="Arial"/>
          <w:b/>
          <w:bCs/>
          <w:sz w:val="20"/>
          <w:szCs w:val="20"/>
        </w:rPr>
        <w:t>Round 1</w:t>
      </w:r>
    </w:p>
    <w:p w14:paraId="037A65B1"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This questionnaire is the first in the Delphi series and covers what should be taught at the undergraduate medical education (UME) level.  Please respond as fully as you are able. Your answers will be collated, themed and used to determine future questionnaires with the purpose of determining an appropriately detailed syllabus for teaching medical students gender affirming primary care and transition related care for the transgender and gender diverse population.</w:t>
      </w:r>
    </w:p>
    <w:p w14:paraId="099BEE87" w14:textId="77777777" w:rsidR="00EF10D8" w:rsidRPr="00AF440D" w:rsidRDefault="00EF10D8" w:rsidP="00EF10D8">
      <w:pPr>
        <w:spacing w:afterLines="60" w:after="144"/>
        <w:rPr>
          <w:rFonts w:ascii="Arial" w:hAnsi="Arial" w:cs="Arial"/>
          <w:sz w:val="20"/>
          <w:szCs w:val="20"/>
        </w:rPr>
      </w:pPr>
    </w:p>
    <w:p w14:paraId="3E1A5F80"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Language &amp; Terminology</w:t>
      </w:r>
    </w:p>
    <w:p w14:paraId="14CE7CA8"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how important it is to cover the following topics in teaching Gender-Affirming Primary Care and Transition-related care to undergraduate medical students: [options: Not at all important - Low importance - Moderately important – Important – Essential]</w:t>
      </w:r>
    </w:p>
    <w:p w14:paraId="5090F3A0" w14:textId="77777777" w:rsidR="00EF10D8" w:rsidRPr="00AF440D" w:rsidRDefault="00EF10D8" w:rsidP="00EF10D8">
      <w:pPr>
        <w:pStyle w:val="Lijstalinea"/>
        <w:numPr>
          <w:ilvl w:val="0"/>
          <w:numId w:val="6"/>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Terminology and basic concepts – </w:t>
      </w:r>
      <w:proofErr w:type="spellStart"/>
      <w:r w:rsidRPr="00AF440D">
        <w:rPr>
          <w:rFonts w:ascii="Arial" w:hAnsi="Arial" w:cs="Arial"/>
          <w:sz w:val="20"/>
          <w:szCs w:val="20"/>
        </w:rPr>
        <w:t>ie</w:t>
      </w:r>
      <w:proofErr w:type="spellEnd"/>
      <w:r w:rsidRPr="00AF440D">
        <w:rPr>
          <w:rFonts w:ascii="Arial" w:hAnsi="Arial" w:cs="Arial"/>
          <w:sz w:val="20"/>
          <w:szCs w:val="20"/>
        </w:rPr>
        <w:t>. sex, gender identity, gender dysphoria, gender nonconformity, gender presentation, transgender, non-binary, gender queer</w:t>
      </w:r>
    </w:p>
    <w:p w14:paraId="63DF1C9C"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01598490"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Are there any other language and terminology topics that should be included?</w:t>
      </w:r>
    </w:p>
    <w:p w14:paraId="623F2D66" w14:textId="77777777" w:rsidR="00EF10D8" w:rsidRPr="00AF440D" w:rsidRDefault="00EF10D8" w:rsidP="00EF10D8">
      <w:pPr>
        <w:spacing w:afterLines="60" w:after="144"/>
        <w:rPr>
          <w:rFonts w:ascii="Arial" w:hAnsi="Arial" w:cs="Arial"/>
          <w:sz w:val="20"/>
          <w:szCs w:val="20"/>
        </w:rPr>
      </w:pPr>
    </w:p>
    <w:p w14:paraId="2CBD9EE3"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History, Epidemiology, Social Determinants of Health</w:t>
      </w:r>
    </w:p>
    <w:p w14:paraId="018540F0"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how important it is to cover the following topics in teaching Gender-Affirming Primary Care and Transition-related care to undergraduate medical students: [options: Not at all important - Low importance - Moderately important – Important – Essential]</w:t>
      </w:r>
    </w:p>
    <w:p w14:paraId="7018DBD3" w14:textId="77777777" w:rsidR="00EF10D8" w:rsidRPr="00AF440D" w:rsidRDefault="00EF10D8" w:rsidP="00EF10D8">
      <w:pPr>
        <w:pStyle w:val="Lijstalinea"/>
        <w:numPr>
          <w:ilvl w:val="0"/>
          <w:numId w:val="6"/>
        </w:numPr>
        <w:spacing w:afterLines="60" w:after="144" w:line="240" w:lineRule="auto"/>
        <w:contextualSpacing w:val="0"/>
        <w:rPr>
          <w:rFonts w:ascii="Arial" w:hAnsi="Arial" w:cs="Arial"/>
          <w:sz w:val="20"/>
          <w:szCs w:val="20"/>
        </w:rPr>
      </w:pPr>
      <w:r w:rsidRPr="00AF440D">
        <w:rPr>
          <w:rFonts w:ascii="Arial" w:hAnsi="Arial" w:cs="Arial"/>
          <w:sz w:val="20"/>
          <w:szCs w:val="20"/>
        </w:rPr>
        <w:t>History of transgender and gender diverse rights in Canada</w:t>
      </w:r>
      <w:r w:rsidRPr="00AF440D">
        <w:rPr>
          <w:rFonts w:ascii="Arial" w:hAnsi="Arial" w:cs="Arial"/>
          <w:sz w:val="20"/>
          <w:szCs w:val="20"/>
        </w:rPr>
        <w:tab/>
      </w:r>
    </w:p>
    <w:p w14:paraId="04B6270B" w14:textId="77777777" w:rsidR="00EF10D8" w:rsidRPr="00AF440D" w:rsidRDefault="00EF10D8" w:rsidP="00EF10D8">
      <w:pPr>
        <w:pStyle w:val="Lijstalinea"/>
        <w:numPr>
          <w:ilvl w:val="0"/>
          <w:numId w:val="6"/>
        </w:numPr>
        <w:spacing w:afterLines="60" w:after="144" w:line="240" w:lineRule="auto"/>
        <w:contextualSpacing w:val="0"/>
        <w:rPr>
          <w:rFonts w:ascii="Arial" w:hAnsi="Arial" w:cs="Arial"/>
          <w:sz w:val="20"/>
          <w:szCs w:val="20"/>
        </w:rPr>
      </w:pPr>
      <w:r w:rsidRPr="00AF440D">
        <w:rPr>
          <w:rFonts w:ascii="Arial" w:hAnsi="Arial" w:cs="Arial"/>
          <w:sz w:val="20"/>
          <w:szCs w:val="20"/>
        </w:rPr>
        <w:t>Epidemiologic Considerations</w:t>
      </w:r>
    </w:p>
    <w:p w14:paraId="5B047389" w14:textId="77777777" w:rsidR="00EF10D8" w:rsidRPr="00AF440D" w:rsidRDefault="00EF10D8" w:rsidP="00EF10D8">
      <w:pPr>
        <w:pStyle w:val="Lijstalinea"/>
        <w:numPr>
          <w:ilvl w:val="0"/>
          <w:numId w:val="6"/>
        </w:numPr>
        <w:spacing w:afterLines="60" w:after="144" w:line="240" w:lineRule="auto"/>
        <w:contextualSpacing w:val="0"/>
        <w:rPr>
          <w:rFonts w:ascii="Arial" w:hAnsi="Arial" w:cs="Arial"/>
          <w:sz w:val="20"/>
          <w:szCs w:val="20"/>
        </w:rPr>
      </w:pPr>
      <w:r w:rsidRPr="00AF440D">
        <w:rPr>
          <w:rFonts w:ascii="Arial" w:hAnsi="Arial" w:cs="Arial"/>
          <w:sz w:val="20"/>
          <w:szCs w:val="20"/>
        </w:rPr>
        <w:t>Gender diversity from a social and cultural perspective</w:t>
      </w:r>
    </w:p>
    <w:p w14:paraId="54D144DB" w14:textId="77777777" w:rsidR="00EF10D8" w:rsidRPr="00AF440D" w:rsidRDefault="00EF10D8" w:rsidP="00EF10D8">
      <w:pPr>
        <w:pStyle w:val="Lijstalinea"/>
        <w:numPr>
          <w:ilvl w:val="0"/>
          <w:numId w:val="6"/>
        </w:numPr>
        <w:spacing w:afterLines="60" w:after="144" w:line="240" w:lineRule="auto"/>
        <w:contextualSpacing w:val="0"/>
        <w:rPr>
          <w:rFonts w:ascii="Arial" w:hAnsi="Arial" w:cs="Arial"/>
          <w:sz w:val="20"/>
          <w:szCs w:val="20"/>
        </w:rPr>
      </w:pPr>
      <w:r w:rsidRPr="00AF440D">
        <w:rPr>
          <w:rFonts w:ascii="Arial" w:hAnsi="Arial" w:cs="Arial"/>
          <w:sz w:val="20"/>
          <w:szCs w:val="20"/>
        </w:rPr>
        <w:t>Name and gender marker change</w:t>
      </w:r>
    </w:p>
    <w:p w14:paraId="7B4B6996" w14:textId="77777777" w:rsidR="00EF10D8" w:rsidRPr="00AF440D" w:rsidRDefault="00EF10D8" w:rsidP="00EF10D8">
      <w:pPr>
        <w:pStyle w:val="Lijstalinea"/>
        <w:numPr>
          <w:ilvl w:val="0"/>
          <w:numId w:val="6"/>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Social determinants of health specific to transgender and gender diverse patients – </w:t>
      </w:r>
      <w:proofErr w:type="spellStart"/>
      <w:r w:rsidRPr="00AF440D">
        <w:rPr>
          <w:rFonts w:ascii="Arial" w:hAnsi="Arial" w:cs="Arial"/>
          <w:sz w:val="20"/>
          <w:szCs w:val="20"/>
        </w:rPr>
        <w:t>ie</w:t>
      </w:r>
      <w:proofErr w:type="spellEnd"/>
      <w:r w:rsidRPr="00AF440D">
        <w:rPr>
          <w:rFonts w:ascii="Arial" w:hAnsi="Arial" w:cs="Arial"/>
          <w:sz w:val="20"/>
          <w:szCs w:val="20"/>
        </w:rPr>
        <w:t xml:space="preserve"> economic status, ethnicity/religion, employment, homelessness</w:t>
      </w:r>
    </w:p>
    <w:p w14:paraId="171E8C24" w14:textId="77777777" w:rsidR="00EF10D8" w:rsidRPr="00AF440D" w:rsidRDefault="00EF10D8" w:rsidP="00EF10D8">
      <w:pPr>
        <w:pStyle w:val="Lijstalinea"/>
        <w:numPr>
          <w:ilvl w:val="0"/>
          <w:numId w:val="6"/>
        </w:numPr>
        <w:spacing w:afterLines="60" w:after="144" w:line="240" w:lineRule="auto"/>
        <w:contextualSpacing w:val="0"/>
        <w:rPr>
          <w:rFonts w:ascii="Arial" w:hAnsi="Arial" w:cs="Arial"/>
          <w:sz w:val="20"/>
          <w:szCs w:val="20"/>
        </w:rPr>
      </w:pPr>
      <w:r w:rsidRPr="00AF440D">
        <w:rPr>
          <w:rFonts w:ascii="Arial" w:hAnsi="Arial" w:cs="Arial"/>
          <w:sz w:val="20"/>
          <w:szCs w:val="20"/>
        </w:rPr>
        <w:t>Issues with access to care</w:t>
      </w:r>
    </w:p>
    <w:p w14:paraId="09F3033E" w14:textId="77777777" w:rsidR="00EF10D8" w:rsidRPr="00AF440D" w:rsidRDefault="00EF10D8" w:rsidP="00EF10D8">
      <w:pPr>
        <w:pStyle w:val="Lijstalinea"/>
        <w:numPr>
          <w:ilvl w:val="0"/>
          <w:numId w:val="6"/>
        </w:numPr>
        <w:spacing w:afterLines="60" w:after="144" w:line="240" w:lineRule="auto"/>
        <w:contextualSpacing w:val="0"/>
        <w:rPr>
          <w:rFonts w:ascii="Arial" w:hAnsi="Arial" w:cs="Arial"/>
          <w:sz w:val="20"/>
          <w:szCs w:val="20"/>
        </w:rPr>
      </w:pPr>
      <w:r w:rsidRPr="00AF440D">
        <w:rPr>
          <w:rFonts w:ascii="Arial" w:hAnsi="Arial" w:cs="Arial"/>
          <w:sz w:val="20"/>
          <w:szCs w:val="20"/>
        </w:rPr>
        <w:t>Transphobia, discrimination, and other social disadvantages</w:t>
      </w:r>
    </w:p>
    <w:p w14:paraId="4AD023E9" w14:textId="77777777" w:rsidR="00EF10D8" w:rsidRPr="00AF440D" w:rsidRDefault="00EF10D8" w:rsidP="00EF10D8">
      <w:pPr>
        <w:spacing w:afterLines="60" w:after="144"/>
        <w:rPr>
          <w:rFonts w:ascii="Arial" w:hAnsi="Arial" w:cs="Arial"/>
          <w:sz w:val="20"/>
          <w:szCs w:val="20"/>
        </w:rPr>
      </w:pPr>
    </w:p>
    <w:p w14:paraId="2DFE78F0"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Are there any other History, Epidemiology, Social Determinants of Health topics that should be included?</w:t>
      </w:r>
    </w:p>
    <w:p w14:paraId="16725A1E" w14:textId="77777777" w:rsidR="00EF10D8" w:rsidRPr="00AF440D" w:rsidRDefault="00EF10D8" w:rsidP="00EF10D8">
      <w:pPr>
        <w:spacing w:afterLines="60" w:after="144"/>
        <w:rPr>
          <w:rFonts w:ascii="Arial" w:hAnsi="Arial" w:cs="Arial"/>
          <w:sz w:val="20"/>
          <w:szCs w:val="20"/>
        </w:rPr>
      </w:pPr>
    </w:p>
    <w:p w14:paraId="3BF7FCF4"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Mental Health</w:t>
      </w:r>
    </w:p>
    <w:p w14:paraId="33AFDE21"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how important it is to cover the following topics in teaching Gender-Affirming Primary Care and Transition-related care to undergraduate medical students: [options: Not at all important - Low importance - Moderately important – Important – Essential]</w:t>
      </w:r>
    </w:p>
    <w:p w14:paraId="7CE96862" w14:textId="77777777" w:rsidR="00EF10D8" w:rsidRPr="00AF440D" w:rsidRDefault="00EF10D8" w:rsidP="00EF10D8">
      <w:pPr>
        <w:pStyle w:val="Lijstalinea"/>
        <w:numPr>
          <w:ilvl w:val="0"/>
          <w:numId w:val="7"/>
        </w:numPr>
        <w:spacing w:afterLines="60" w:after="144" w:line="240" w:lineRule="auto"/>
        <w:contextualSpacing w:val="0"/>
        <w:rPr>
          <w:rFonts w:ascii="Arial" w:hAnsi="Arial" w:cs="Arial"/>
          <w:sz w:val="20"/>
          <w:szCs w:val="20"/>
        </w:rPr>
      </w:pPr>
      <w:r w:rsidRPr="00AF440D">
        <w:rPr>
          <w:rFonts w:ascii="Arial" w:hAnsi="Arial" w:cs="Arial"/>
          <w:sz w:val="20"/>
          <w:szCs w:val="20"/>
        </w:rPr>
        <w:t>Criteria for diagnosing gender dysphoria in adults</w:t>
      </w:r>
    </w:p>
    <w:p w14:paraId="215673FC" w14:textId="77777777" w:rsidR="00EF10D8" w:rsidRPr="00AF440D" w:rsidRDefault="00EF10D8" w:rsidP="00EF10D8">
      <w:pPr>
        <w:pStyle w:val="Lijstalinea"/>
        <w:numPr>
          <w:ilvl w:val="0"/>
          <w:numId w:val="7"/>
        </w:numPr>
        <w:spacing w:afterLines="60" w:after="144" w:line="240" w:lineRule="auto"/>
        <w:contextualSpacing w:val="0"/>
        <w:rPr>
          <w:rFonts w:ascii="Arial" w:hAnsi="Arial" w:cs="Arial"/>
          <w:sz w:val="20"/>
          <w:szCs w:val="20"/>
        </w:rPr>
      </w:pPr>
      <w:r w:rsidRPr="00AF440D">
        <w:rPr>
          <w:rFonts w:ascii="Arial" w:hAnsi="Arial" w:cs="Arial"/>
          <w:sz w:val="20"/>
          <w:szCs w:val="20"/>
        </w:rPr>
        <w:lastRenderedPageBreak/>
        <w:t>Criteria for diagnosing gender dysphoria in children and adolescents</w:t>
      </w:r>
    </w:p>
    <w:p w14:paraId="0CAC521B" w14:textId="77777777" w:rsidR="00EF10D8" w:rsidRPr="00AF440D" w:rsidRDefault="00EF10D8" w:rsidP="00EF10D8">
      <w:pPr>
        <w:pStyle w:val="Lijstalinea"/>
        <w:numPr>
          <w:ilvl w:val="0"/>
          <w:numId w:val="7"/>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Sources of gender-related trauma - gender dysphoria, pronouns and </w:t>
      </w:r>
      <w:proofErr w:type="spellStart"/>
      <w:r w:rsidRPr="00AF440D">
        <w:rPr>
          <w:rFonts w:ascii="Arial" w:hAnsi="Arial" w:cs="Arial"/>
          <w:sz w:val="20"/>
          <w:szCs w:val="20"/>
        </w:rPr>
        <w:t>misgendering</w:t>
      </w:r>
      <w:proofErr w:type="spellEnd"/>
      <w:r w:rsidRPr="00AF440D">
        <w:rPr>
          <w:rFonts w:ascii="Arial" w:hAnsi="Arial" w:cs="Arial"/>
          <w:sz w:val="20"/>
          <w:szCs w:val="20"/>
        </w:rPr>
        <w:t xml:space="preserve">, </w:t>
      </w:r>
      <w:proofErr w:type="spellStart"/>
      <w:r w:rsidRPr="00AF440D">
        <w:rPr>
          <w:rFonts w:ascii="Arial" w:hAnsi="Arial" w:cs="Arial"/>
          <w:sz w:val="20"/>
          <w:szCs w:val="20"/>
        </w:rPr>
        <w:t>deadnaming</w:t>
      </w:r>
      <w:proofErr w:type="spellEnd"/>
      <w:r w:rsidRPr="00AF440D">
        <w:rPr>
          <w:rFonts w:ascii="Arial" w:hAnsi="Arial" w:cs="Arial"/>
          <w:sz w:val="20"/>
          <w:szCs w:val="20"/>
        </w:rPr>
        <w:t>, denial of care, stigma, stereotyping, transphobia</w:t>
      </w:r>
    </w:p>
    <w:p w14:paraId="49D69B31" w14:textId="77777777" w:rsidR="00EF10D8" w:rsidRPr="00AF440D" w:rsidRDefault="00EF10D8" w:rsidP="00EF10D8">
      <w:pPr>
        <w:pStyle w:val="Lijstalinea"/>
        <w:numPr>
          <w:ilvl w:val="0"/>
          <w:numId w:val="7"/>
        </w:numPr>
        <w:spacing w:afterLines="60" w:after="144" w:line="240" w:lineRule="auto"/>
        <w:contextualSpacing w:val="0"/>
        <w:rPr>
          <w:rFonts w:ascii="Arial" w:hAnsi="Arial" w:cs="Arial"/>
          <w:sz w:val="20"/>
          <w:szCs w:val="20"/>
        </w:rPr>
      </w:pPr>
      <w:r w:rsidRPr="00AF440D">
        <w:rPr>
          <w:rFonts w:ascii="Arial" w:hAnsi="Arial" w:cs="Arial"/>
          <w:sz w:val="20"/>
          <w:szCs w:val="20"/>
        </w:rPr>
        <w:t>Gender expression and role change</w:t>
      </w:r>
    </w:p>
    <w:p w14:paraId="490C8848" w14:textId="77777777" w:rsidR="00EF10D8" w:rsidRPr="00AF440D" w:rsidRDefault="00EF10D8" w:rsidP="00EF10D8">
      <w:pPr>
        <w:pStyle w:val="Lijstalinea"/>
        <w:numPr>
          <w:ilvl w:val="0"/>
          <w:numId w:val="7"/>
        </w:numPr>
        <w:spacing w:afterLines="60" w:after="144" w:line="240" w:lineRule="auto"/>
        <w:contextualSpacing w:val="0"/>
        <w:rPr>
          <w:rFonts w:ascii="Arial" w:hAnsi="Arial" w:cs="Arial"/>
          <w:sz w:val="20"/>
          <w:szCs w:val="20"/>
        </w:rPr>
      </w:pPr>
      <w:r w:rsidRPr="00AF440D">
        <w:rPr>
          <w:rFonts w:ascii="Arial" w:hAnsi="Arial" w:cs="Arial"/>
          <w:sz w:val="20"/>
          <w:szCs w:val="20"/>
        </w:rPr>
        <w:t>Psychotherapy including counselling and support for changes in gender role</w:t>
      </w:r>
    </w:p>
    <w:p w14:paraId="00D51810" w14:textId="77777777" w:rsidR="00EF10D8" w:rsidRPr="00AF440D" w:rsidRDefault="00EF10D8" w:rsidP="00EF10D8">
      <w:pPr>
        <w:pStyle w:val="Lijstalinea"/>
        <w:numPr>
          <w:ilvl w:val="0"/>
          <w:numId w:val="7"/>
        </w:numPr>
        <w:spacing w:afterLines="60" w:after="144" w:line="240" w:lineRule="auto"/>
        <w:contextualSpacing w:val="0"/>
        <w:rPr>
          <w:rFonts w:ascii="Arial" w:hAnsi="Arial" w:cs="Arial"/>
          <w:sz w:val="20"/>
          <w:szCs w:val="20"/>
        </w:rPr>
      </w:pPr>
      <w:r w:rsidRPr="00AF440D">
        <w:rPr>
          <w:rFonts w:ascii="Arial" w:hAnsi="Arial" w:cs="Arial"/>
          <w:sz w:val="20"/>
          <w:szCs w:val="20"/>
        </w:rPr>
        <w:t>Family therapy or support for family members</w:t>
      </w:r>
    </w:p>
    <w:p w14:paraId="0A08D27E" w14:textId="77777777" w:rsidR="00EF10D8" w:rsidRPr="00AF440D" w:rsidRDefault="00EF10D8" w:rsidP="00EF10D8">
      <w:pPr>
        <w:pStyle w:val="Lijstalinea"/>
        <w:numPr>
          <w:ilvl w:val="0"/>
          <w:numId w:val="7"/>
        </w:numPr>
        <w:spacing w:afterLines="60" w:after="144" w:line="240" w:lineRule="auto"/>
        <w:contextualSpacing w:val="0"/>
        <w:rPr>
          <w:rFonts w:ascii="Arial" w:hAnsi="Arial" w:cs="Arial"/>
          <w:sz w:val="20"/>
          <w:szCs w:val="20"/>
        </w:rPr>
      </w:pPr>
      <w:r w:rsidRPr="00AF440D">
        <w:rPr>
          <w:rFonts w:ascii="Arial" w:hAnsi="Arial" w:cs="Arial"/>
          <w:sz w:val="20"/>
          <w:szCs w:val="20"/>
        </w:rPr>
        <w:t>Social support</w:t>
      </w:r>
    </w:p>
    <w:p w14:paraId="0F7FD37D" w14:textId="77777777" w:rsidR="00EF10D8" w:rsidRPr="00AF440D" w:rsidRDefault="00EF10D8" w:rsidP="00EF10D8">
      <w:pPr>
        <w:pStyle w:val="Lijstalinea"/>
        <w:numPr>
          <w:ilvl w:val="0"/>
          <w:numId w:val="7"/>
        </w:numPr>
        <w:spacing w:afterLines="60" w:after="144" w:line="240" w:lineRule="auto"/>
        <w:contextualSpacing w:val="0"/>
        <w:rPr>
          <w:rFonts w:ascii="Arial" w:hAnsi="Arial" w:cs="Arial"/>
          <w:sz w:val="20"/>
          <w:szCs w:val="20"/>
        </w:rPr>
      </w:pPr>
      <w:r w:rsidRPr="00AF440D">
        <w:rPr>
          <w:rFonts w:ascii="Arial" w:hAnsi="Arial" w:cs="Arial"/>
          <w:sz w:val="20"/>
          <w:szCs w:val="20"/>
        </w:rPr>
        <w:t>Concurrent mental health disorders</w:t>
      </w:r>
    </w:p>
    <w:p w14:paraId="35E12BBA" w14:textId="77777777" w:rsidR="00EF10D8" w:rsidRPr="00AF440D" w:rsidRDefault="00EF10D8" w:rsidP="00EF10D8">
      <w:pPr>
        <w:pStyle w:val="Lijstalinea"/>
        <w:numPr>
          <w:ilvl w:val="0"/>
          <w:numId w:val="7"/>
        </w:numPr>
        <w:spacing w:afterLines="60" w:after="144" w:line="240" w:lineRule="auto"/>
        <w:contextualSpacing w:val="0"/>
        <w:rPr>
          <w:rFonts w:ascii="Arial" w:hAnsi="Arial" w:cs="Arial"/>
          <w:sz w:val="20"/>
          <w:szCs w:val="20"/>
        </w:rPr>
      </w:pPr>
      <w:r w:rsidRPr="00AF440D">
        <w:rPr>
          <w:rFonts w:ascii="Arial" w:hAnsi="Arial" w:cs="Arial"/>
          <w:sz w:val="20"/>
          <w:szCs w:val="20"/>
        </w:rPr>
        <w:t>Risks of withholding medical treatments</w:t>
      </w:r>
    </w:p>
    <w:p w14:paraId="1A576171" w14:textId="77777777" w:rsidR="00EF10D8" w:rsidRPr="00AF440D" w:rsidRDefault="00EF10D8" w:rsidP="00EF10D8">
      <w:pPr>
        <w:pStyle w:val="Lijstalinea"/>
        <w:numPr>
          <w:ilvl w:val="0"/>
          <w:numId w:val="7"/>
        </w:numPr>
        <w:spacing w:afterLines="60" w:after="144" w:line="240" w:lineRule="auto"/>
        <w:contextualSpacing w:val="0"/>
        <w:rPr>
          <w:rFonts w:ascii="Arial" w:hAnsi="Arial" w:cs="Arial"/>
          <w:sz w:val="20"/>
          <w:szCs w:val="20"/>
        </w:rPr>
      </w:pPr>
      <w:r w:rsidRPr="00AF440D">
        <w:rPr>
          <w:rFonts w:ascii="Arial" w:hAnsi="Arial" w:cs="Arial"/>
          <w:sz w:val="20"/>
          <w:szCs w:val="20"/>
        </w:rPr>
        <w:t>Addictions amongst the gender diverse population</w:t>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2541E632" w14:textId="77777777" w:rsidR="00EF10D8" w:rsidRPr="00AF440D" w:rsidRDefault="00EF10D8" w:rsidP="00EF10D8">
      <w:pPr>
        <w:spacing w:afterLines="60" w:after="144"/>
        <w:rPr>
          <w:rFonts w:ascii="Arial" w:hAnsi="Arial" w:cs="Arial"/>
          <w:sz w:val="20"/>
          <w:szCs w:val="20"/>
        </w:rPr>
      </w:pPr>
    </w:p>
    <w:p w14:paraId="6C28E434"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Are there any other Mental Health topics that should be included?</w:t>
      </w:r>
    </w:p>
    <w:p w14:paraId="77C78923" w14:textId="77777777" w:rsidR="00EF10D8" w:rsidRPr="00AF440D" w:rsidRDefault="00EF10D8" w:rsidP="00EF10D8">
      <w:pPr>
        <w:spacing w:afterLines="60" w:after="144"/>
        <w:rPr>
          <w:rFonts w:ascii="Arial" w:hAnsi="Arial" w:cs="Arial"/>
          <w:sz w:val="20"/>
          <w:szCs w:val="20"/>
        </w:rPr>
      </w:pPr>
    </w:p>
    <w:p w14:paraId="3CE4F36F"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Hormones</w:t>
      </w:r>
    </w:p>
    <w:p w14:paraId="365BBC92"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how important it is to cover the following topics in teaching Gender-Affirming Primary Care and Transition-related care to undergraduate medical students: [options: Not at all important - Low importance - Moderately important – Important – Essential]</w:t>
      </w:r>
    </w:p>
    <w:p w14:paraId="785DFF4F" w14:textId="77777777" w:rsidR="00EF10D8" w:rsidRPr="00AF440D" w:rsidRDefault="00EF10D8" w:rsidP="00EF10D8">
      <w:pPr>
        <w:pStyle w:val="Lijstalinea"/>
        <w:numPr>
          <w:ilvl w:val="0"/>
          <w:numId w:val="8"/>
        </w:numPr>
        <w:spacing w:afterLines="60" w:after="144" w:line="240" w:lineRule="auto"/>
        <w:contextualSpacing w:val="0"/>
        <w:rPr>
          <w:rFonts w:ascii="Arial" w:hAnsi="Arial" w:cs="Arial"/>
          <w:sz w:val="20"/>
          <w:szCs w:val="20"/>
        </w:rPr>
      </w:pPr>
      <w:r w:rsidRPr="00AF440D">
        <w:rPr>
          <w:rFonts w:ascii="Arial" w:hAnsi="Arial" w:cs="Arial"/>
          <w:sz w:val="20"/>
          <w:szCs w:val="20"/>
        </w:rPr>
        <w:t>Criteria for initiating hormone therapy</w:t>
      </w:r>
    </w:p>
    <w:p w14:paraId="49186479" w14:textId="77777777" w:rsidR="00EF10D8" w:rsidRPr="00AF440D" w:rsidRDefault="00EF10D8" w:rsidP="00EF10D8">
      <w:pPr>
        <w:pStyle w:val="Lijstalinea"/>
        <w:numPr>
          <w:ilvl w:val="0"/>
          <w:numId w:val="8"/>
        </w:numPr>
        <w:spacing w:afterLines="60" w:after="144" w:line="240" w:lineRule="auto"/>
        <w:contextualSpacing w:val="0"/>
        <w:rPr>
          <w:rFonts w:ascii="Arial" w:hAnsi="Arial" w:cs="Arial"/>
          <w:sz w:val="20"/>
          <w:szCs w:val="20"/>
        </w:rPr>
      </w:pPr>
      <w:r w:rsidRPr="00AF440D">
        <w:rPr>
          <w:rFonts w:ascii="Arial" w:hAnsi="Arial" w:cs="Arial"/>
          <w:sz w:val="20"/>
          <w:szCs w:val="20"/>
        </w:rPr>
        <w:t>GnRH Analogs</w:t>
      </w:r>
    </w:p>
    <w:p w14:paraId="47D349A7" w14:textId="77777777" w:rsidR="00EF10D8" w:rsidRPr="00AF440D" w:rsidRDefault="00EF10D8" w:rsidP="00EF10D8">
      <w:pPr>
        <w:pStyle w:val="Lijstalinea"/>
        <w:numPr>
          <w:ilvl w:val="0"/>
          <w:numId w:val="8"/>
        </w:numPr>
        <w:spacing w:afterLines="60" w:after="144" w:line="240" w:lineRule="auto"/>
        <w:contextualSpacing w:val="0"/>
        <w:rPr>
          <w:rFonts w:ascii="Arial" w:hAnsi="Arial" w:cs="Arial"/>
          <w:sz w:val="20"/>
          <w:szCs w:val="20"/>
        </w:rPr>
      </w:pPr>
      <w:r w:rsidRPr="00AF440D">
        <w:rPr>
          <w:rFonts w:ascii="Arial" w:hAnsi="Arial" w:cs="Arial"/>
          <w:sz w:val="20"/>
          <w:szCs w:val="20"/>
        </w:rPr>
        <w:t>Regimens for feminizing hormone therapy</w:t>
      </w:r>
    </w:p>
    <w:p w14:paraId="0FBD6164" w14:textId="77777777" w:rsidR="00EF10D8" w:rsidRPr="00AF440D" w:rsidRDefault="00EF10D8" w:rsidP="00EF10D8">
      <w:pPr>
        <w:pStyle w:val="Lijstalinea"/>
        <w:numPr>
          <w:ilvl w:val="0"/>
          <w:numId w:val="8"/>
        </w:numPr>
        <w:spacing w:afterLines="60" w:after="144" w:line="240" w:lineRule="auto"/>
        <w:contextualSpacing w:val="0"/>
        <w:rPr>
          <w:rFonts w:ascii="Arial" w:hAnsi="Arial" w:cs="Arial"/>
          <w:sz w:val="20"/>
          <w:szCs w:val="20"/>
        </w:rPr>
      </w:pPr>
      <w:r w:rsidRPr="00AF440D">
        <w:rPr>
          <w:rFonts w:ascii="Arial" w:hAnsi="Arial" w:cs="Arial"/>
          <w:sz w:val="20"/>
          <w:szCs w:val="20"/>
        </w:rPr>
        <w:t>Regimens for masculinizing hormone therapy</w:t>
      </w:r>
    </w:p>
    <w:p w14:paraId="6F4DE502" w14:textId="77777777" w:rsidR="00EF10D8" w:rsidRPr="00AF440D" w:rsidRDefault="00EF10D8" w:rsidP="00EF10D8">
      <w:pPr>
        <w:pStyle w:val="Lijstalinea"/>
        <w:numPr>
          <w:ilvl w:val="0"/>
          <w:numId w:val="8"/>
        </w:numPr>
        <w:spacing w:afterLines="60" w:after="144" w:line="240" w:lineRule="auto"/>
        <w:contextualSpacing w:val="0"/>
        <w:rPr>
          <w:rFonts w:ascii="Arial" w:hAnsi="Arial" w:cs="Arial"/>
          <w:sz w:val="20"/>
          <w:szCs w:val="20"/>
        </w:rPr>
      </w:pPr>
      <w:r w:rsidRPr="00AF440D">
        <w:rPr>
          <w:rFonts w:ascii="Arial" w:hAnsi="Arial" w:cs="Arial"/>
          <w:sz w:val="20"/>
          <w:szCs w:val="20"/>
        </w:rPr>
        <w:t>Physical effects</w:t>
      </w:r>
    </w:p>
    <w:p w14:paraId="1A5779F6" w14:textId="77777777" w:rsidR="00EF10D8" w:rsidRPr="00AF440D" w:rsidRDefault="00EF10D8" w:rsidP="00EF10D8">
      <w:pPr>
        <w:pStyle w:val="Lijstalinea"/>
        <w:numPr>
          <w:ilvl w:val="0"/>
          <w:numId w:val="8"/>
        </w:numPr>
        <w:spacing w:afterLines="60" w:after="144" w:line="240" w:lineRule="auto"/>
        <w:contextualSpacing w:val="0"/>
        <w:rPr>
          <w:rFonts w:ascii="Arial" w:hAnsi="Arial" w:cs="Arial"/>
          <w:sz w:val="20"/>
          <w:szCs w:val="20"/>
        </w:rPr>
      </w:pPr>
      <w:r w:rsidRPr="00AF440D">
        <w:rPr>
          <w:rFonts w:ascii="Arial" w:hAnsi="Arial" w:cs="Arial"/>
          <w:sz w:val="20"/>
          <w:szCs w:val="20"/>
        </w:rPr>
        <w:t>Timeline to onset of effect and expected maximum effect</w:t>
      </w:r>
    </w:p>
    <w:p w14:paraId="28EE8C23" w14:textId="77777777" w:rsidR="00EF10D8" w:rsidRPr="00AF440D" w:rsidRDefault="00EF10D8" w:rsidP="00EF10D8">
      <w:pPr>
        <w:pStyle w:val="Lijstalinea"/>
        <w:numPr>
          <w:ilvl w:val="0"/>
          <w:numId w:val="8"/>
        </w:numPr>
        <w:spacing w:afterLines="60" w:after="144" w:line="240" w:lineRule="auto"/>
        <w:contextualSpacing w:val="0"/>
        <w:rPr>
          <w:rFonts w:ascii="Arial" w:hAnsi="Arial" w:cs="Arial"/>
          <w:sz w:val="20"/>
          <w:szCs w:val="20"/>
        </w:rPr>
      </w:pPr>
      <w:r w:rsidRPr="00AF440D">
        <w:rPr>
          <w:rFonts w:ascii="Arial" w:hAnsi="Arial" w:cs="Arial"/>
          <w:sz w:val="20"/>
          <w:szCs w:val="20"/>
        </w:rPr>
        <w:t>Risks, side effects and contraindications to hormone therapy</w:t>
      </w:r>
    </w:p>
    <w:p w14:paraId="6282F647" w14:textId="77777777" w:rsidR="00EF10D8" w:rsidRPr="00AF440D" w:rsidRDefault="00EF10D8" w:rsidP="00EF10D8">
      <w:pPr>
        <w:pStyle w:val="Lijstalinea"/>
        <w:numPr>
          <w:ilvl w:val="0"/>
          <w:numId w:val="8"/>
        </w:numPr>
        <w:spacing w:afterLines="60" w:after="144" w:line="240" w:lineRule="auto"/>
        <w:contextualSpacing w:val="0"/>
        <w:rPr>
          <w:rFonts w:ascii="Arial" w:hAnsi="Arial" w:cs="Arial"/>
          <w:sz w:val="20"/>
          <w:szCs w:val="20"/>
        </w:rPr>
      </w:pPr>
      <w:r w:rsidRPr="00AF440D">
        <w:rPr>
          <w:rFonts w:ascii="Arial" w:hAnsi="Arial" w:cs="Arial"/>
          <w:sz w:val="20"/>
          <w:szCs w:val="20"/>
        </w:rPr>
        <w:t>Monitoring of patients while on hormone therapy</w:t>
      </w:r>
    </w:p>
    <w:p w14:paraId="552EDA48" w14:textId="77777777" w:rsidR="00EF10D8" w:rsidRPr="00AF440D" w:rsidRDefault="00EF10D8" w:rsidP="00EF10D8">
      <w:pPr>
        <w:pStyle w:val="Lijstalinea"/>
        <w:numPr>
          <w:ilvl w:val="0"/>
          <w:numId w:val="8"/>
        </w:numPr>
        <w:spacing w:afterLines="60" w:after="144" w:line="240" w:lineRule="auto"/>
        <w:contextualSpacing w:val="0"/>
        <w:rPr>
          <w:rFonts w:ascii="Arial" w:hAnsi="Arial" w:cs="Arial"/>
          <w:sz w:val="20"/>
          <w:szCs w:val="20"/>
        </w:rPr>
      </w:pPr>
      <w:r w:rsidRPr="00AF440D">
        <w:rPr>
          <w:rFonts w:ascii="Arial" w:hAnsi="Arial" w:cs="Arial"/>
          <w:sz w:val="20"/>
          <w:szCs w:val="20"/>
        </w:rPr>
        <w:t>Reference ranges for blood work monitoring hormone levels</w:t>
      </w:r>
    </w:p>
    <w:p w14:paraId="0178E9DB"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16B0270A"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Are there any other Hormones topics that should be included?</w:t>
      </w:r>
    </w:p>
    <w:p w14:paraId="7ED6721D" w14:textId="77777777" w:rsidR="00EF10D8" w:rsidRPr="00AF440D" w:rsidRDefault="00EF10D8" w:rsidP="00EF10D8">
      <w:pPr>
        <w:spacing w:afterLines="60" w:after="144"/>
        <w:rPr>
          <w:rFonts w:ascii="Arial" w:hAnsi="Arial" w:cs="Arial"/>
          <w:sz w:val="20"/>
          <w:szCs w:val="20"/>
        </w:rPr>
      </w:pPr>
    </w:p>
    <w:p w14:paraId="03E4B2D2"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Surgeries</w:t>
      </w:r>
    </w:p>
    <w:p w14:paraId="77ACC9EC"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how important it is to cover the following topics in teaching Gender-Affirming Primary Care and Transition-related care to undergraduate medical students: [options: Not at all important - Low importance - Moderately important – Important – Essential]</w:t>
      </w:r>
    </w:p>
    <w:p w14:paraId="3ACB664F" w14:textId="77777777" w:rsidR="00EF10D8" w:rsidRPr="00AF440D" w:rsidRDefault="00EF10D8" w:rsidP="00EF10D8">
      <w:pPr>
        <w:pStyle w:val="Lijstalinea"/>
        <w:numPr>
          <w:ilvl w:val="0"/>
          <w:numId w:val="9"/>
        </w:numPr>
        <w:spacing w:afterLines="60" w:after="144" w:line="240" w:lineRule="auto"/>
        <w:contextualSpacing w:val="0"/>
        <w:rPr>
          <w:rFonts w:ascii="Arial" w:hAnsi="Arial" w:cs="Arial"/>
          <w:sz w:val="20"/>
          <w:szCs w:val="20"/>
        </w:rPr>
      </w:pPr>
      <w:r w:rsidRPr="00AF440D">
        <w:rPr>
          <w:rFonts w:ascii="Arial" w:hAnsi="Arial" w:cs="Arial"/>
          <w:sz w:val="20"/>
          <w:szCs w:val="20"/>
        </w:rPr>
        <w:t>Criteria for surgery</w:t>
      </w:r>
    </w:p>
    <w:p w14:paraId="2820BD0B" w14:textId="77777777" w:rsidR="00EF10D8" w:rsidRPr="00AF440D" w:rsidRDefault="00EF10D8" w:rsidP="00EF10D8">
      <w:pPr>
        <w:pStyle w:val="Lijstalinea"/>
        <w:numPr>
          <w:ilvl w:val="0"/>
          <w:numId w:val="9"/>
        </w:numPr>
        <w:spacing w:afterLines="60" w:after="144" w:line="240" w:lineRule="auto"/>
        <w:contextualSpacing w:val="0"/>
        <w:rPr>
          <w:rFonts w:ascii="Arial" w:hAnsi="Arial" w:cs="Arial"/>
          <w:sz w:val="20"/>
          <w:szCs w:val="20"/>
        </w:rPr>
      </w:pPr>
      <w:r w:rsidRPr="00AF440D">
        <w:rPr>
          <w:rFonts w:ascii="Arial" w:hAnsi="Arial" w:cs="Arial"/>
          <w:sz w:val="20"/>
          <w:szCs w:val="20"/>
        </w:rPr>
        <w:t>Referral process for surgery (local context)</w:t>
      </w:r>
    </w:p>
    <w:p w14:paraId="0B010865" w14:textId="77777777" w:rsidR="00EF10D8" w:rsidRPr="00AF440D" w:rsidRDefault="00EF10D8" w:rsidP="00EF10D8">
      <w:pPr>
        <w:pStyle w:val="Lijstalinea"/>
        <w:numPr>
          <w:ilvl w:val="0"/>
          <w:numId w:val="9"/>
        </w:numPr>
        <w:spacing w:afterLines="60" w:after="144" w:line="240" w:lineRule="auto"/>
        <w:contextualSpacing w:val="0"/>
        <w:rPr>
          <w:rFonts w:ascii="Arial" w:hAnsi="Arial" w:cs="Arial"/>
          <w:sz w:val="20"/>
          <w:szCs w:val="20"/>
        </w:rPr>
      </w:pPr>
      <w:r w:rsidRPr="00AF440D">
        <w:rPr>
          <w:rFonts w:ascii="Arial" w:hAnsi="Arial" w:cs="Arial"/>
          <w:sz w:val="20"/>
          <w:szCs w:val="20"/>
        </w:rPr>
        <w:t>Breast/Chest Surgical Options</w:t>
      </w:r>
    </w:p>
    <w:p w14:paraId="41ABC36A" w14:textId="77777777" w:rsidR="00EF10D8" w:rsidRPr="00AF440D" w:rsidRDefault="00EF10D8" w:rsidP="00EF10D8">
      <w:pPr>
        <w:pStyle w:val="Lijstalinea"/>
        <w:numPr>
          <w:ilvl w:val="0"/>
          <w:numId w:val="9"/>
        </w:numPr>
        <w:spacing w:afterLines="60" w:after="144" w:line="240" w:lineRule="auto"/>
        <w:contextualSpacing w:val="0"/>
        <w:rPr>
          <w:rFonts w:ascii="Arial" w:hAnsi="Arial" w:cs="Arial"/>
          <w:sz w:val="20"/>
          <w:szCs w:val="20"/>
        </w:rPr>
      </w:pPr>
      <w:r w:rsidRPr="00AF440D">
        <w:rPr>
          <w:rFonts w:ascii="Arial" w:hAnsi="Arial" w:cs="Arial"/>
          <w:sz w:val="20"/>
          <w:szCs w:val="20"/>
        </w:rPr>
        <w:lastRenderedPageBreak/>
        <w:t>Breast/Chest Surgical Techniques and complications</w:t>
      </w:r>
    </w:p>
    <w:p w14:paraId="7574803D" w14:textId="77777777" w:rsidR="00EF10D8" w:rsidRPr="00AF440D" w:rsidRDefault="00EF10D8" w:rsidP="00EF10D8">
      <w:pPr>
        <w:pStyle w:val="Lijstalinea"/>
        <w:numPr>
          <w:ilvl w:val="0"/>
          <w:numId w:val="9"/>
        </w:numPr>
        <w:spacing w:afterLines="60" w:after="144" w:line="240" w:lineRule="auto"/>
        <w:contextualSpacing w:val="0"/>
        <w:rPr>
          <w:rFonts w:ascii="Arial" w:hAnsi="Arial" w:cs="Arial"/>
          <w:sz w:val="20"/>
          <w:szCs w:val="20"/>
        </w:rPr>
      </w:pPr>
      <w:r w:rsidRPr="00AF440D">
        <w:rPr>
          <w:rFonts w:ascii="Arial" w:hAnsi="Arial" w:cs="Arial"/>
          <w:sz w:val="20"/>
          <w:szCs w:val="20"/>
        </w:rPr>
        <w:t>Genital surgical options (feminizing)</w:t>
      </w:r>
    </w:p>
    <w:p w14:paraId="11688FFC" w14:textId="77777777" w:rsidR="00EF10D8" w:rsidRPr="00AF440D" w:rsidRDefault="00EF10D8" w:rsidP="00EF10D8">
      <w:pPr>
        <w:pStyle w:val="Lijstalinea"/>
        <w:numPr>
          <w:ilvl w:val="0"/>
          <w:numId w:val="9"/>
        </w:numPr>
        <w:spacing w:afterLines="60" w:after="144" w:line="240" w:lineRule="auto"/>
        <w:contextualSpacing w:val="0"/>
        <w:rPr>
          <w:rFonts w:ascii="Arial" w:hAnsi="Arial" w:cs="Arial"/>
          <w:sz w:val="20"/>
          <w:szCs w:val="20"/>
        </w:rPr>
      </w:pPr>
      <w:r w:rsidRPr="00AF440D">
        <w:rPr>
          <w:rFonts w:ascii="Arial" w:hAnsi="Arial" w:cs="Arial"/>
          <w:sz w:val="20"/>
          <w:szCs w:val="20"/>
        </w:rPr>
        <w:t>Genital surgical techniques and complications (feminizing)</w:t>
      </w:r>
    </w:p>
    <w:p w14:paraId="736878B5" w14:textId="77777777" w:rsidR="00EF10D8" w:rsidRPr="00AF440D" w:rsidRDefault="00EF10D8" w:rsidP="00EF10D8">
      <w:pPr>
        <w:pStyle w:val="Lijstalinea"/>
        <w:numPr>
          <w:ilvl w:val="0"/>
          <w:numId w:val="9"/>
        </w:numPr>
        <w:spacing w:afterLines="60" w:after="144" w:line="240" w:lineRule="auto"/>
        <w:contextualSpacing w:val="0"/>
        <w:rPr>
          <w:rFonts w:ascii="Arial" w:hAnsi="Arial" w:cs="Arial"/>
          <w:sz w:val="20"/>
          <w:szCs w:val="20"/>
        </w:rPr>
      </w:pPr>
      <w:r w:rsidRPr="00AF440D">
        <w:rPr>
          <w:rFonts w:ascii="Arial" w:hAnsi="Arial" w:cs="Arial"/>
          <w:sz w:val="20"/>
          <w:szCs w:val="20"/>
        </w:rPr>
        <w:t>Genital surgical options (masculinizing)</w:t>
      </w:r>
    </w:p>
    <w:p w14:paraId="09EBA082" w14:textId="77777777" w:rsidR="00EF10D8" w:rsidRPr="00AF440D" w:rsidRDefault="00EF10D8" w:rsidP="00EF10D8">
      <w:pPr>
        <w:pStyle w:val="Lijstalinea"/>
        <w:numPr>
          <w:ilvl w:val="0"/>
          <w:numId w:val="9"/>
        </w:numPr>
        <w:spacing w:afterLines="60" w:after="144" w:line="240" w:lineRule="auto"/>
        <w:contextualSpacing w:val="0"/>
        <w:rPr>
          <w:rFonts w:ascii="Arial" w:hAnsi="Arial" w:cs="Arial"/>
          <w:sz w:val="20"/>
          <w:szCs w:val="20"/>
        </w:rPr>
      </w:pPr>
      <w:r w:rsidRPr="00AF440D">
        <w:rPr>
          <w:rFonts w:ascii="Arial" w:hAnsi="Arial" w:cs="Arial"/>
          <w:sz w:val="20"/>
          <w:szCs w:val="20"/>
        </w:rPr>
        <w:t>Genital surgical techniques and complications (masculinizing)</w:t>
      </w:r>
    </w:p>
    <w:p w14:paraId="2F794C4E" w14:textId="77777777" w:rsidR="00EF10D8" w:rsidRPr="00AF440D" w:rsidRDefault="00EF10D8" w:rsidP="00EF10D8">
      <w:pPr>
        <w:pStyle w:val="Lijstalinea"/>
        <w:numPr>
          <w:ilvl w:val="0"/>
          <w:numId w:val="9"/>
        </w:numPr>
        <w:spacing w:afterLines="60" w:after="144" w:line="240" w:lineRule="auto"/>
        <w:contextualSpacing w:val="0"/>
        <w:rPr>
          <w:rFonts w:ascii="Arial" w:hAnsi="Arial" w:cs="Arial"/>
          <w:sz w:val="20"/>
          <w:szCs w:val="20"/>
        </w:rPr>
      </w:pPr>
      <w:r w:rsidRPr="00AF440D">
        <w:rPr>
          <w:rFonts w:ascii="Arial" w:hAnsi="Arial" w:cs="Arial"/>
          <w:sz w:val="20"/>
          <w:szCs w:val="20"/>
        </w:rPr>
        <w:t>Other surgeries (</w:t>
      </w:r>
      <w:proofErr w:type="spellStart"/>
      <w:r w:rsidRPr="00AF440D">
        <w:rPr>
          <w:rFonts w:ascii="Arial" w:hAnsi="Arial" w:cs="Arial"/>
          <w:sz w:val="20"/>
          <w:szCs w:val="20"/>
        </w:rPr>
        <w:t>ie</w:t>
      </w:r>
      <w:proofErr w:type="spellEnd"/>
      <w:r w:rsidRPr="00AF440D">
        <w:rPr>
          <w:rFonts w:ascii="Arial" w:hAnsi="Arial" w:cs="Arial"/>
          <w:sz w:val="20"/>
          <w:szCs w:val="20"/>
        </w:rPr>
        <w:t>. Rhinoplasty, thyroid chondroplasty)</w:t>
      </w:r>
    </w:p>
    <w:p w14:paraId="5B712533" w14:textId="77777777" w:rsidR="00EF10D8" w:rsidRPr="00AF440D" w:rsidRDefault="00EF10D8" w:rsidP="00EF10D8">
      <w:pPr>
        <w:pStyle w:val="Lijstalinea"/>
        <w:numPr>
          <w:ilvl w:val="0"/>
          <w:numId w:val="9"/>
        </w:numPr>
        <w:spacing w:afterLines="60" w:after="144" w:line="240" w:lineRule="auto"/>
        <w:contextualSpacing w:val="0"/>
        <w:rPr>
          <w:rFonts w:ascii="Arial" w:hAnsi="Arial" w:cs="Arial"/>
          <w:sz w:val="20"/>
          <w:szCs w:val="20"/>
        </w:rPr>
      </w:pPr>
      <w:r w:rsidRPr="00AF440D">
        <w:rPr>
          <w:rFonts w:ascii="Arial" w:hAnsi="Arial" w:cs="Arial"/>
          <w:sz w:val="20"/>
          <w:szCs w:val="20"/>
        </w:rPr>
        <w:t>Voice feminization surgery</w:t>
      </w:r>
    </w:p>
    <w:p w14:paraId="1EACFFB4" w14:textId="77777777" w:rsidR="00EF10D8" w:rsidRPr="00AF440D" w:rsidRDefault="00EF10D8" w:rsidP="00EF10D8">
      <w:pPr>
        <w:pStyle w:val="Lijstalinea"/>
        <w:numPr>
          <w:ilvl w:val="0"/>
          <w:numId w:val="9"/>
        </w:numPr>
        <w:spacing w:afterLines="60" w:after="144" w:line="240" w:lineRule="auto"/>
        <w:contextualSpacing w:val="0"/>
        <w:rPr>
          <w:rFonts w:ascii="Arial" w:hAnsi="Arial" w:cs="Arial"/>
          <w:sz w:val="20"/>
          <w:szCs w:val="20"/>
        </w:rPr>
      </w:pPr>
      <w:r w:rsidRPr="00AF440D">
        <w:rPr>
          <w:rFonts w:ascii="Arial" w:hAnsi="Arial" w:cs="Arial"/>
          <w:sz w:val="20"/>
          <w:szCs w:val="20"/>
        </w:rPr>
        <w:t>Postoperative care</w:t>
      </w:r>
    </w:p>
    <w:p w14:paraId="6DDA5EA0" w14:textId="77777777" w:rsidR="00EF10D8" w:rsidRPr="00AF440D" w:rsidRDefault="00EF10D8" w:rsidP="00EF10D8">
      <w:pPr>
        <w:spacing w:afterLines="60" w:after="144"/>
        <w:rPr>
          <w:rFonts w:ascii="Arial" w:hAnsi="Arial" w:cs="Arial"/>
          <w:sz w:val="20"/>
          <w:szCs w:val="20"/>
        </w:rPr>
      </w:pPr>
    </w:p>
    <w:p w14:paraId="6D6D0FD7"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Are there any other Surgeries topics that should be included?</w:t>
      </w:r>
    </w:p>
    <w:p w14:paraId="0C05A4B8" w14:textId="77777777" w:rsidR="00EF10D8" w:rsidRPr="00AF440D" w:rsidRDefault="00EF10D8" w:rsidP="00EF10D8">
      <w:pPr>
        <w:spacing w:afterLines="60" w:after="144"/>
        <w:rPr>
          <w:rFonts w:ascii="Arial" w:hAnsi="Arial" w:cs="Arial"/>
          <w:sz w:val="20"/>
          <w:szCs w:val="20"/>
        </w:rPr>
      </w:pPr>
    </w:p>
    <w:p w14:paraId="4F8CD2D3"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Routine Primary Care</w:t>
      </w:r>
    </w:p>
    <w:p w14:paraId="6880DA64"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how important it is to cover the following topics in teaching Gender-Affirming Primary Care and Transition-related care to undergraduate medical students: [options: Not at all important - Low importance - Moderately important – Important – Essential]</w:t>
      </w:r>
    </w:p>
    <w:p w14:paraId="32472431" w14:textId="77777777" w:rsidR="00EF10D8" w:rsidRPr="00AF440D" w:rsidRDefault="00EF10D8" w:rsidP="00EF10D8">
      <w:pPr>
        <w:pStyle w:val="Lijstalinea"/>
        <w:numPr>
          <w:ilvl w:val="0"/>
          <w:numId w:val="11"/>
        </w:numPr>
        <w:spacing w:afterLines="60" w:after="144" w:line="240" w:lineRule="auto"/>
        <w:contextualSpacing w:val="0"/>
        <w:rPr>
          <w:rFonts w:ascii="Arial" w:hAnsi="Arial" w:cs="Arial"/>
          <w:sz w:val="20"/>
          <w:szCs w:val="20"/>
        </w:rPr>
      </w:pPr>
      <w:r w:rsidRPr="00AF440D">
        <w:rPr>
          <w:rFonts w:ascii="Arial" w:hAnsi="Arial" w:cs="Arial"/>
          <w:sz w:val="20"/>
          <w:szCs w:val="20"/>
        </w:rPr>
        <w:t>Approaches to taking a gender-inclusive history</w:t>
      </w:r>
    </w:p>
    <w:p w14:paraId="6E443AEC" w14:textId="77777777" w:rsidR="00EF10D8" w:rsidRPr="00AF440D" w:rsidRDefault="00EF10D8" w:rsidP="00EF10D8">
      <w:pPr>
        <w:pStyle w:val="Lijstalinea"/>
        <w:numPr>
          <w:ilvl w:val="0"/>
          <w:numId w:val="11"/>
        </w:numPr>
        <w:spacing w:afterLines="60" w:after="144" w:line="240" w:lineRule="auto"/>
        <w:contextualSpacing w:val="0"/>
        <w:rPr>
          <w:rFonts w:ascii="Arial" w:hAnsi="Arial" w:cs="Arial"/>
          <w:sz w:val="20"/>
          <w:szCs w:val="20"/>
        </w:rPr>
      </w:pPr>
      <w:r w:rsidRPr="00AF440D">
        <w:rPr>
          <w:rFonts w:ascii="Arial" w:hAnsi="Arial" w:cs="Arial"/>
          <w:sz w:val="20"/>
          <w:szCs w:val="20"/>
        </w:rPr>
        <w:t>Gender Affirming Physical Exam</w:t>
      </w:r>
    </w:p>
    <w:p w14:paraId="4A9568BE" w14:textId="77777777" w:rsidR="00EF10D8" w:rsidRPr="00AF440D" w:rsidRDefault="00EF10D8" w:rsidP="00EF10D8">
      <w:pPr>
        <w:pStyle w:val="Lijstalinea"/>
        <w:numPr>
          <w:ilvl w:val="0"/>
          <w:numId w:val="11"/>
        </w:numPr>
        <w:spacing w:afterLines="60" w:after="144" w:line="240" w:lineRule="auto"/>
        <w:contextualSpacing w:val="0"/>
        <w:rPr>
          <w:rFonts w:ascii="Arial" w:hAnsi="Arial" w:cs="Arial"/>
          <w:sz w:val="20"/>
          <w:szCs w:val="20"/>
        </w:rPr>
      </w:pPr>
      <w:r w:rsidRPr="00AF440D">
        <w:rPr>
          <w:rFonts w:ascii="Arial" w:hAnsi="Arial" w:cs="Arial"/>
          <w:sz w:val="20"/>
          <w:szCs w:val="20"/>
        </w:rPr>
        <w:t>Gender expression as part of normal childhood development</w:t>
      </w:r>
    </w:p>
    <w:p w14:paraId="60E02859" w14:textId="77777777" w:rsidR="00EF10D8" w:rsidRPr="00AF440D" w:rsidRDefault="00EF10D8" w:rsidP="00EF10D8">
      <w:pPr>
        <w:pStyle w:val="Lijstalinea"/>
        <w:numPr>
          <w:ilvl w:val="0"/>
          <w:numId w:val="11"/>
        </w:numPr>
        <w:spacing w:afterLines="60" w:after="144" w:line="240" w:lineRule="auto"/>
        <w:contextualSpacing w:val="0"/>
        <w:rPr>
          <w:rFonts w:ascii="Arial" w:hAnsi="Arial" w:cs="Arial"/>
          <w:sz w:val="20"/>
          <w:szCs w:val="20"/>
        </w:rPr>
      </w:pPr>
      <w:r w:rsidRPr="00AF440D">
        <w:rPr>
          <w:rFonts w:ascii="Arial" w:hAnsi="Arial" w:cs="Arial"/>
          <w:sz w:val="20"/>
          <w:szCs w:val="20"/>
        </w:rPr>
        <w:t>Non-surgical options for voice feminization</w:t>
      </w:r>
    </w:p>
    <w:p w14:paraId="1278CAAE" w14:textId="77777777" w:rsidR="00EF10D8" w:rsidRPr="00AF440D" w:rsidRDefault="00EF10D8" w:rsidP="00EF10D8">
      <w:pPr>
        <w:pStyle w:val="Lijstalinea"/>
        <w:numPr>
          <w:ilvl w:val="0"/>
          <w:numId w:val="11"/>
        </w:numPr>
        <w:spacing w:afterLines="60" w:after="144" w:line="240" w:lineRule="auto"/>
        <w:contextualSpacing w:val="0"/>
        <w:rPr>
          <w:rFonts w:ascii="Arial" w:hAnsi="Arial" w:cs="Arial"/>
          <w:sz w:val="20"/>
          <w:szCs w:val="20"/>
        </w:rPr>
      </w:pPr>
      <w:r w:rsidRPr="00AF440D">
        <w:rPr>
          <w:rFonts w:ascii="Arial" w:hAnsi="Arial" w:cs="Arial"/>
          <w:sz w:val="20"/>
          <w:szCs w:val="20"/>
        </w:rPr>
        <w:t>Cancer screening (</w:t>
      </w:r>
      <w:proofErr w:type="spellStart"/>
      <w:r w:rsidRPr="00AF440D">
        <w:rPr>
          <w:rFonts w:ascii="Arial" w:hAnsi="Arial" w:cs="Arial"/>
          <w:sz w:val="20"/>
          <w:szCs w:val="20"/>
        </w:rPr>
        <w:t>ie</w:t>
      </w:r>
      <w:proofErr w:type="spellEnd"/>
      <w:r w:rsidRPr="00AF440D">
        <w:rPr>
          <w:rFonts w:ascii="Arial" w:hAnsi="Arial" w:cs="Arial"/>
          <w:sz w:val="20"/>
          <w:szCs w:val="20"/>
        </w:rPr>
        <w:t>. Prostate exam, Mammography, Pap Smear)</w:t>
      </w:r>
    </w:p>
    <w:p w14:paraId="3F0441B7" w14:textId="77777777" w:rsidR="00EF10D8" w:rsidRPr="00AF440D" w:rsidRDefault="00EF10D8" w:rsidP="00EF10D8">
      <w:pPr>
        <w:pStyle w:val="Lijstalinea"/>
        <w:numPr>
          <w:ilvl w:val="0"/>
          <w:numId w:val="11"/>
        </w:numPr>
        <w:spacing w:afterLines="60" w:after="144" w:line="240" w:lineRule="auto"/>
        <w:contextualSpacing w:val="0"/>
        <w:rPr>
          <w:rFonts w:ascii="Arial" w:hAnsi="Arial" w:cs="Arial"/>
          <w:sz w:val="20"/>
          <w:szCs w:val="20"/>
        </w:rPr>
      </w:pPr>
      <w:r w:rsidRPr="00AF440D">
        <w:rPr>
          <w:rFonts w:ascii="Arial" w:hAnsi="Arial" w:cs="Arial"/>
          <w:sz w:val="20"/>
          <w:szCs w:val="20"/>
        </w:rPr>
        <w:t>Management of pelvic pain, pain with orgasm and vaginal atrophy while on Testosterone</w:t>
      </w:r>
    </w:p>
    <w:p w14:paraId="2159CE6B" w14:textId="77777777" w:rsidR="00EF10D8" w:rsidRPr="00AF440D" w:rsidRDefault="00EF10D8" w:rsidP="00EF10D8">
      <w:pPr>
        <w:pStyle w:val="Lijstalinea"/>
        <w:numPr>
          <w:ilvl w:val="0"/>
          <w:numId w:val="11"/>
        </w:numPr>
        <w:spacing w:afterLines="60" w:after="144" w:line="240" w:lineRule="auto"/>
        <w:contextualSpacing w:val="0"/>
        <w:rPr>
          <w:rFonts w:ascii="Arial" w:hAnsi="Arial" w:cs="Arial"/>
          <w:sz w:val="20"/>
          <w:szCs w:val="20"/>
        </w:rPr>
      </w:pPr>
      <w:r w:rsidRPr="00AF440D">
        <w:rPr>
          <w:rFonts w:ascii="Arial" w:hAnsi="Arial" w:cs="Arial"/>
          <w:sz w:val="20"/>
          <w:szCs w:val="20"/>
        </w:rPr>
        <w:t>Management of breakthrough/abnormal bleeding on Testosterone</w:t>
      </w:r>
    </w:p>
    <w:p w14:paraId="0D50968C" w14:textId="77777777" w:rsidR="00EF10D8" w:rsidRPr="00AF440D" w:rsidRDefault="00EF10D8" w:rsidP="00EF10D8">
      <w:pPr>
        <w:pStyle w:val="Lijstalinea"/>
        <w:numPr>
          <w:ilvl w:val="0"/>
          <w:numId w:val="11"/>
        </w:numPr>
        <w:spacing w:afterLines="60" w:after="144" w:line="240" w:lineRule="auto"/>
        <w:contextualSpacing w:val="0"/>
        <w:rPr>
          <w:rFonts w:ascii="Arial" w:hAnsi="Arial" w:cs="Arial"/>
          <w:sz w:val="20"/>
          <w:szCs w:val="20"/>
        </w:rPr>
      </w:pPr>
      <w:r w:rsidRPr="00AF440D">
        <w:rPr>
          <w:rFonts w:ascii="Arial" w:hAnsi="Arial" w:cs="Arial"/>
          <w:sz w:val="20"/>
          <w:szCs w:val="20"/>
        </w:rPr>
        <w:t>Trans Broken-Arm Syndrome</w:t>
      </w:r>
    </w:p>
    <w:p w14:paraId="67AC2AC2" w14:textId="77777777" w:rsidR="00EF10D8" w:rsidRPr="00AF440D" w:rsidRDefault="00EF10D8" w:rsidP="00EF10D8">
      <w:pPr>
        <w:pStyle w:val="Lijstalinea"/>
        <w:numPr>
          <w:ilvl w:val="0"/>
          <w:numId w:val="11"/>
        </w:numPr>
        <w:spacing w:afterLines="60" w:after="144" w:line="240" w:lineRule="auto"/>
        <w:contextualSpacing w:val="0"/>
        <w:rPr>
          <w:rFonts w:ascii="Arial" w:hAnsi="Arial" w:cs="Arial"/>
          <w:sz w:val="20"/>
          <w:szCs w:val="20"/>
        </w:rPr>
      </w:pPr>
      <w:r w:rsidRPr="00AF440D">
        <w:rPr>
          <w:rFonts w:ascii="Arial" w:hAnsi="Arial" w:cs="Arial"/>
          <w:sz w:val="20"/>
          <w:szCs w:val="20"/>
        </w:rPr>
        <w:t>Health complications as a result of hormone therapy</w:t>
      </w:r>
    </w:p>
    <w:p w14:paraId="52F153A1" w14:textId="77777777" w:rsidR="00EF10D8" w:rsidRPr="00AF440D" w:rsidRDefault="00EF10D8" w:rsidP="00EF10D8">
      <w:pPr>
        <w:pStyle w:val="Lijstalinea"/>
        <w:numPr>
          <w:ilvl w:val="0"/>
          <w:numId w:val="11"/>
        </w:numPr>
        <w:spacing w:afterLines="60" w:after="144" w:line="240" w:lineRule="auto"/>
        <w:contextualSpacing w:val="0"/>
        <w:rPr>
          <w:rFonts w:ascii="Arial" w:hAnsi="Arial" w:cs="Arial"/>
          <w:sz w:val="20"/>
          <w:szCs w:val="20"/>
        </w:rPr>
      </w:pPr>
      <w:r w:rsidRPr="00AF440D">
        <w:rPr>
          <w:rFonts w:ascii="Arial" w:hAnsi="Arial" w:cs="Arial"/>
          <w:sz w:val="20"/>
          <w:szCs w:val="20"/>
        </w:rPr>
        <w:t>Role of providers and staff in providing a safe environment for transgender and gender diverse patients</w:t>
      </w:r>
    </w:p>
    <w:p w14:paraId="0F222AB2" w14:textId="77777777" w:rsidR="00EF10D8" w:rsidRPr="00AF440D" w:rsidRDefault="00EF10D8" w:rsidP="00EF10D8">
      <w:pPr>
        <w:spacing w:afterLines="60" w:after="144"/>
        <w:rPr>
          <w:rFonts w:ascii="Arial" w:hAnsi="Arial" w:cs="Arial"/>
          <w:sz w:val="20"/>
          <w:szCs w:val="20"/>
        </w:rPr>
      </w:pPr>
    </w:p>
    <w:p w14:paraId="2CCCB506"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Are there any other Routine Primary Care topics that should be included?</w:t>
      </w:r>
    </w:p>
    <w:p w14:paraId="44497029" w14:textId="77777777" w:rsidR="00EF10D8" w:rsidRPr="00AF440D" w:rsidRDefault="00EF10D8" w:rsidP="00EF10D8">
      <w:pPr>
        <w:spacing w:afterLines="60" w:after="144"/>
        <w:rPr>
          <w:rFonts w:ascii="Arial" w:hAnsi="Arial" w:cs="Arial"/>
          <w:sz w:val="20"/>
          <w:szCs w:val="20"/>
        </w:rPr>
      </w:pPr>
    </w:p>
    <w:p w14:paraId="5060AB96"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Reproductive and Sexual Health</w:t>
      </w:r>
    </w:p>
    <w:p w14:paraId="27A37967"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how important it is to cover the following topics in teaching Gender-Affirming Primary Care and Transition-related care to undergraduate medical students: [options: Not at all important - Low importance - Moderately important – Important – Essential]</w:t>
      </w:r>
    </w:p>
    <w:p w14:paraId="45752B13" w14:textId="77777777" w:rsidR="00EF10D8" w:rsidRPr="00AF440D" w:rsidRDefault="00EF10D8" w:rsidP="00EF10D8">
      <w:pPr>
        <w:pStyle w:val="Lijstalinea"/>
        <w:numPr>
          <w:ilvl w:val="0"/>
          <w:numId w:val="10"/>
        </w:numPr>
        <w:spacing w:afterLines="60" w:after="144" w:line="240" w:lineRule="auto"/>
        <w:contextualSpacing w:val="0"/>
        <w:rPr>
          <w:rFonts w:ascii="Arial" w:hAnsi="Arial" w:cs="Arial"/>
          <w:sz w:val="20"/>
          <w:szCs w:val="20"/>
        </w:rPr>
      </w:pPr>
      <w:r w:rsidRPr="00AF440D">
        <w:rPr>
          <w:rFonts w:ascii="Arial" w:hAnsi="Arial" w:cs="Arial"/>
          <w:sz w:val="20"/>
          <w:szCs w:val="20"/>
        </w:rPr>
        <w:t>Sexual assault in the transgender and gender diverse population</w:t>
      </w:r>
    </w:p>
    <w:p w14:paraId="3B025CC2" w14:textId="77777777" w:rsidR="00EF10D8" w:rsidRPr="00AF440D" w:rsidRDefault="00EF10D8" w:rsidP="00EF10D8">
      <w:pPr>
        <w:pStyle w:val="Lijstalinea"/>
        <w:numPr>
          <w:ilvl w:val="0"/>
          <w:numId w:val="10"/>
        </w:numPr>
        <w:spacing w:afterLines="60" w:after="144" w:line="240" w:lineRule="auto"/>
        <w:contextualSpacing w:val="0"/>
        <w:rPr>
          <w:rFonts w:ascii="Arial" w:hAnsi="Arial" w:cs="Arial"/>
          <w:sz w:val="20"/>
          <w:szCs w:val="20"/>
        </w:rPr>
      </w:pPr>
      <w:r w:rsidRPr="00AF440D">
        <w:rPr>
          <w:rFonts w:ascii="Arial" w:hAnsi="Arial" w:cs="Arial"/>
          <w:sz w:val="20"/>
          <w:szCs w:val="20"/>
        </w:rPr>
        <w:t>Reproductive options for transwomen (</w:t>
      </w:r>
      <w:proofErr w:type="spellStart"/>
      <w:r w:rsidRPr="00AF440D">
        <w:rPr>
          <w:rFonts w:ascii="Arial" w:hAnsi="Arial" w:cs="Arial"/>
          <w:sz w:val="20"/>
          <w:szCs w:val="20"/>
        </w:rPr>
        <w:t>ie</w:t>
      </w:r>
      <w:proofErr w:type="spellEnd"/>
      <w:r w:rsidRPr="00AF440D">
        <w:rPr>
          <w:rFonts w:ascii="Arial" w:hAnsi="Arial" w:cs="Arial"/>
          <w:sz w:val="20"/>
          <w:szCs w:val="20"/>
        </w:rPr>
        <w:t>. Sperm preservation, surrogacy)</w:t>
      </w:r>
    </w:p>
    <w:p w14:paraId="64AD44AF" w14:textId="77777777" w:rsidR="00EF10D8" w:rsidRPr="00AF440D" w:rsidRDefault="00EF10D8" w:rsidP="00EF10D8">
      <w:pPr>
        <w:pStyle w:val="Lijstalinea"/>
        <w:numPr>
          <w:ilvl w:val="0"/>
          <w:numId w:val="10"/>
        </w:numPr>
        <w:spacing w:afterLines="60" w:after="144" w:line="240" w:lineRule="auto"/>
        <w:contextualSpacing w:val="0"/>
        <w:rPr>
          <w:rFonts w:ascii="Arial" w:hAnsi="Arial" w:cs="Arial"/>
          <w:sz w:val="20"/>
          <w:szCs w:val="20"/>
        </w:rPr>
      </w:pPr>
      <w:r w:rsidRPr="00AF440D">
        <w:rPr>
          <w:rFonts w:ascii="Arial" w:hAnsi="Arial" w:cs="Arial"/>
          <w:sz w:val="20"/>
          <w:szCs w:val="20"/>
        </w:rPr>
        <w:t>Reproductive options for transmen (</w:t>
      </w:r>
      <w:proofErr w:type="spellStart"/>
      <w:r w:rsidRPr="00AF440D">
        <w:rPr>
          <w:rFonts w:ascii="Arial" w:hAnsi="Arial" w:cs="Arial"/>
          <w:sz w:val="20"/>
          <w:szCs w:val="20"/>
        </w:rPr>
        <w:t>ie</w:t>
      </w:r>
      <w:proofErr w:type="spellEnd"/>
      <w:r w:rsidRPr="00AF440D">
        <w:rPr>
          <w:rFonts w:ascii="Arial" w:hAnsi="Arial" w:cs="Arial"/>
          <w:sz w:val="20"/>
          <w:szCs w:val="20"/>
        </w:rPr>
        <w:t>. Pregnancy, surrogacy, oocyte or embryo freezing)</w:t>
      </w:r>
    </w:p>
    <w:p w14:paraId="6630CEFB" w14:textId="77777777" w:rsidR="00EF10D8" w:rsidRPr="00AF440D" w:rsidRDefault="00EF10D8" w:rsidP="00EF10D8">
      <w:pPr>
        <w:pStyle w:val="Lijstalinea"/>
        <w:numPr>
          <w:ilvl w:val="0"/>
          <w:numId w:val="10"/>
        </w:numPr>
        <w:spacing w:afterLines="60" w:after="144" w:line="240" w:lineRule="auto"/>
        <w:contextualSpacing w:val="0"/>
        <w:rPr>
          <w:rFonts w:ascii="Arial" w:hAnsi="Arial" w:cs="Arial"/>
          <w:sz w:val="20"/>
          <w:szCs w:val="20"/>
        </w:rPr>
      </w:pPr>
      <w:r w:rsidRPr="00AF440D">
        <w:rPr>
          <w:rFonts w:ascii="Arial" w:hAnsi="Arial" w:cs="Arial"/>
          <w:sz w:val="20"/>
          <w:szCs w:val="20"/>
        </w:rPr>
        <w:lastRenderedPageBreak/>
        <w:t>Birth Control</w:t>
      </w:r>
    </w:p>
    <w:p w14:paraId="7981521D" w14:textId="77777777" w:rsidR="00EF10D8" w:rsidRPr="00AF440D" w:rsidRDefault="00EF10D8" w:rsidP="00EF10D8">
      <w:pPr>
        <w:pStyle w:val="Lijstalinea"/>
        <w:numPr>
          <w:ilvl w:val="0"/>
          <w:numId w:val="10"/>
        </w:numPr>
        <w:spacing w:afterLines="60" w:after="144" w:line="240" w:lineRule="auto"/>
        <w:contextualSpacing w:val="0"/>
        <w:rPr>
          <w:rFonts w:ascii="Arial" w:hAnsi="Arial" w:cs="Arial"/>
          <w:sz w:val="20"/>
          <w:szCs w:val="20"/>
        </w:rPr>
      </w:pPr>
      <w:r w:rsidRPr="00AF440D">
        <w:rPr>
          <w:rFonts w:ascii="Arial" w:hAnsi="Arial" w:cs="Arial"/>
          <w:sz w:val="20"/>
          <w:szCs w:val="20"/>
        </w:rPr>
        <w:t>Lactation and pregnancy in transmen</w:t>
      </w:r>
    </w:p>
    <w:p w14:paraId="7138280E" w14:textId="77777777" w:rsidR="00EF10D8" w:rsidRPr="00AF440D" w:rsidRDefault="00EF10D8" w:rsidP="00EF10D8">
      <w:pPr>
        <w:pStyle w:val="Lijstalinea"/>
        <w:numPr>
          <w:ilvl w:val="0"/>
          <w:numId w:val="10"/>
        </w:numPr>
        <w:spacing w:afterLines="60" w:after="144" w:line="240" w:lineRule="auto"/>
        <w:contextualSpacing w:val="0"/>
        <w:rPr>
          <w:rFonts w:ascii="Arial" w:hAnsi="Arial" w:cs="Arial"/>
          <w:sz w:val="20"/>
          <w:szCs w:val="20"/>
        </w:rPr>
      </w:pPr>
      <w:r w:rsidRPr="00AF440D">
        <w:rPr>
          <w:rFonts w:ascii="Arial" w:hAnsi="Arial" w:cs="Arial"/>
          <w:sz w:val="20"/>
          <w:szCs w:val="20"/>
        </w:rPr>
        <w:t>Sexual health</w:t>
      </w:r>
    </w:p>
    <w:p w14:paraId="1265954E"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5E1D7A52"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Are there any other Reproductive and Sexual Health topics that should be included?</w:t>
      </w:r>
    </w:p>
    <w:p w14:paraId="2BEA8357" w14:textId="77777777" w:rsidR="00EF10D8" w:rsidRPr="00AF440D" w:rsidRDefault="00EF10D8" w:rsidP="00EF10D8">
      <w:pPr>
        <w:spacing w:afterLines="60" w:after="144"/>
        <w:rPr>
          <w:rFonts w:ascii="Arial" w:hAnsi="Arial" w:cs="Arial"/>
          <w:sz w:val="20"/>
          <w:szCs w:val="20"/>
        </w:rPr>
      </w:pPr>
    </w:p>
    <w:p w14:paraId="5EBD7B7E"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General comments</w:t>
      </w:r>
    </w:p>
    <w:p w14:paraId="26377747"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Do you have any other comments and observations regarding what we should be teaching undergraduate medical students about transgender and gender diverse health?</w:t>
      </w:r>
    </w:p>
    <w:p w14:paraId="38E7A4DA"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w:t>
      </w:r>
    </w:p>
    <w:p w14:paraId="29AC12AB" w14:textId="77777777" w:rsidR="00EF10D8" w:rsidRPr="00AF440D" w:rsidRDefault="00EF10D8" w:rsidP="00EF10D8">
      <w:pPr>
        <w:spacing w:afterLines="60" w:after="144"/>
        <w:rPr>
          <w:rFonts w:ascii="Arial" w:hAnsi="Arial" w:cs="Arial"/>
          <w:sz w:val="20"/>
          <w:szCs w:val="20"/>
        </w:rPr>
      </w:pPr>
    </w:p>
    <w:p w14:paraId="4954EAEF" w14:textId="77777777" w:rsidR="00EF10D8" w:rsidRPr="00AF440D" w:rsidRDefault="00EF10D8" w:rsidP="00EF10D8">
      <w:pPr>
        <w:spacing w:afterLines="60" w:after="144"/>
        <w:rPr>
          <w:rFonts w:ascii="Arial" w:hAnsi="Arial" w:cs="Arial"/>
          <w:b/>
          <w:bCs/>
          <w:sz w:val="20"/>
          <w:szCs w:val="20"/>
        </w:rPr>
      </w:pPr>
      <w:r w:rsidRPr="00AF440D">
        <w:rPr>
          <w:rFonts w:ascii="Arial" w:hAnsi="Arial" w:cs="Arial"/>
          <w:b/>
          <w:bCs/>
          <w:sz w:val="20"/>
          <w:szCs w:val="20"/>
        </w:rPr>
        <w:t>Round 2</w:t>
      </w:r>
    </w:p>
    <w:p w14:paraId="59C5B13C"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Based on round 1 of the study, the consensus was that the following topics were most important in teaching UME students about TGD care. Please rate the priority of each topic in teaching undergraduate medical students: [Options: Low priority - do not include</w:t>
      </w:r>
      <w:r w:rsidRPr="00AF440D">
        <w:rPr>
          <w:rFonts w:ascii="Arial" w:hAnsi="Arial" w:cs="Arial"/>
          <w:sz w:val="20"/>
          <w:szCs w:val="20"/>
        </w:rPr>
        <w:tab/>
        <w:t>Medium priority, may include</w:t>
      </w:r>
      <w:r w:rsidRPr="00AF440D">
        <w:rPr>
          <w:rFonts w:ascii="Arial" w:hAnsi="Arial" w:cs="Arial"/>
          <w:sz w:val="20"/>
          <w:szCs w:val="20"/>
        </w:rPr>
        <w:tab/>
        <w:t>High priority, definitely include]</w:t>
      </w:r>
    </w:p>
    <w:p w14:paraId="102D1F8B"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Approaches to taking a gender-inclusive history</w:t>
      </w:r>
    </w:p>
    <w:p w14:paraId="2E1FDBAF"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Terminology and basic concepts – </w:t>
      </w:r>
      <w:proofErr w:type="spellStart"/>
      <w:r w:rsidRPr="00AF440D">
        <w:rPr>
          <w:rFonts w:ascii="Arial" w:hAnsi="Arial" w:cs="Arial"/>
          <w:sz w:val="20"/>
          <w:szCs w:val="20"/>
        </w:rPr>
        <w:t>ie</w:t>
      </w:r>
      <w:proofErr w:type="spellEnd"/>
      <w:r w:rsidRPr="00AF440D">
        <w:rPr>
          <w:rFonts w:ascii="Arial" w:hAnsi="Arial" w:cs="Arial"/>
          <w:sz w:val="20"/>
          <w:szCs w:val="20"/>
        </w:rPr>
        <w:t>. sex, gender identity, gender dysphoria, gender nonconformity, gender presentation, transgender, non-binary, gender queer</w:t>
      </w:r>
    </w:p>
    <w:p w14:paraId="173B874B"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Role of providers and staff in providing a safe environment for transgender and gender diverse patients</w:t>
      </w:r>
    </w:p>
    <w:p w14:paraId="61C1FCFE"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Issues with transgender and gender diverse access to care</w:t>
      </w:r>
    </w:p>
    <w:p w14:paraId="6A1397AE"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Gender affirming physical exam</w:t>
      </w:r>
    </w:p>
    <w:p w14:paraId="0CAECE46"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Gender expression as part of normal childhood development</w:t>
      </w:r>
    </w:p>
    <w:p w14:paraId="292C01AA"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Transphobia, discrimination, and other social disadvantages</w:t>
      </w:r>
    </w:p>
    <w:p w14:paraId="18488D02"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Risks of withholding medical treatments for transgender and gender diverse patients</w:t>
      </w:r>
    </w:p>
    <w:p w14:paraId="32564CAF"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Social determinants of health specific to transgender and gender diverse patients – </w:t>
      </w:r>
      <w:proofErr w:type="spellStart"/>
      <w:r w:rsidRPr="00AF440D">
        <w:rPr>
          <w:rFonts w:ascii="Arial" w:hAnsi="Arial" w:cs="Arial"/>
          <w:sz w:val="20"/>
          <w:szCs w:val="20"/>
        </w:rPr>
        <w:t>ie</w:t>
      </w:r>
      <w:proofErr w:type="spellEnd"/>
      <w:r w:rsidRPr="00AF440D">
        <w:rPr>
          <w:rFonts w:ascii="Arial" w:hAnsi="Arial" w:cs="Arial"/>
          <w:sz w:val="20"/>
          <w:szCs w:val="20"/>
        </w:rPr>
        <w:t xml:space="preserve"> economic status, ethnicity/religion, employment, homelessness</w:t>
      </w:r>
    </w:p>
    <w:p w14:paraId="33C8AFF0"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Sexual health for transgender and gender diverse patients</w:t>
      </w:r>
    </w:p>
    <w:p w14:paraId="35126646"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Sources of gender-related trauma - gender dysphoria, pronouns and </w:t>
      </w:r>
      <w:proofErr w:type="spellStart"/>
      <w:r w:rsidRPr="00AF440D">
        <w:rPr>
          <w:rFonts w:ascii="Arial" w:hAnsi="Arial" w:cs="Arial"/>
          <w:sz w:val="20"/>
          <w:szCs w:val="20"/>
        </w:rPr>
        <w:t>misgendering</w:t>
      </w:r>
      <w:proofErr w:type="spellEnd"/>
      <w:r w:rsidRPr="00AF440D">
        <w:rPr>
          <w:rFonts w:ascii="Arial" w:hAnsi="Arial" w:cs="Arial"/>
          <w:sz w:val="20"/>
          <w:szCs w:val="20"/>
        </w:rPr>
        <w:t xml:space="preserve">, </w:t>
      </w:r>
      <w:proofErr w:type="spellStart"/>
      <w:r w:rsidRPr="00AF440D">
        <w:rPr>
          <w:rFonts w:ascii="Arial" w:hAnsi="Arial" w:cs="Arial"/>
          <w:sz w:val="20"/>
          <w:szCs w:val="20"/>
        </w:rPr>
        <w:t>deadnaming</w:t>
      </w:r>
      <w:proofErr w:type="spellEnd"/>
      <w:r w:rsidRPr="00AF440D">
        <w:rPr>
          <w:rFonts w:ascii="Arial" w:hAnsi="Arial" w:cs="Arial"/>
          <w:sz w:val="20"/>
          <w:szCs w:val="20"/>
        </w:rPr>
        <w:t>, denial of care, stigma, stereotyping, transphobia</w:t>
      </w:r>
    </w:p>
    <w:p w14:paraId="1DEA6E56"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Criteria for initiating hormone therapy for transgender and gender diverse patients</w:t>
      </w:r>
    </w:p>
    <w:p w14:paraId="4597AA17"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Cancer screening for transgender and gender diverse patients (</w:t>
      </w:r>
      <w:proofErr w:type="spellStart"/>
      <w:r w:rsidRPr="00AF440D">
        <w:rPr>
          <w:rFonts w:ascii="Arial" w:hAnsi="Arial" w:cs="Arial"/>
          <w:sz w:val="20"/>
          <w:szCs w:val="20"/>
        </w:rPr>
        <w:t>ie</w:t>
      </w:r>
      <w:proofErr w:type="spellEnd"/>
      <w:r w:rsidRPr="00AF440D">
        <w:rPr>
          <w:rFonts w:ascii="Arial" w:hAnsi="Arial" w:cs="Arial"/>
          <w:sz w:val="20"/>
          <w:szCs w:val="20"/>
        </w:rPr>
        <w:t>. prostate exam, mammography, pap smear)</w:t>
      </w:r>
    </w:p>
    <w:p w14:paraId="66650DD1"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Concurrent mental health disorders for transgender and gender diverse patients</w:t>
      </w:r>
    </w:p>
    <w:p w14:paraId="4DD0067B"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Sexual assault in the transgender and gender diverse population</w:t>
      </w:r>
    </w:p>
    <w:p w14:paraId="40958AAE"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Criteria for diagnosing gender dysphoria in adults</w:t>
      </w:r>
    </w:p>
    <w:p w14:paraId="43F60190"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lastRenderedPageBreak/>
        <w:t>Health complications as a result of hormone therapy for transgender and gender diverse patients</w:t>
      </w:r>
    </w:p>
    <w:p w14:paraId="4FA6CEAC"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Birth control for transgender and gender diverse patients</w:t>
      </w:r>
    </w:p>
    <w:p w14:paraId="4D5382C3"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Criteria for diagnosing gender dysphoria in children and adolescents</w:t>
      </w:r>
    </w:p>
    <w:p w14:paraId="17CC4A5C"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Risks, side effects and contraindications to hormone therapy for transgender and gender diverse patients</w:t>
      </w:r>
    </w:p>
    <w:p w14:paraId="134D64E5"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Monitoring of transgender and gender diverse patients while on hormone therapy</w:t>
      </w:r>
    </w:p>
    <w:p w14:paraId="1B2464E2"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Gender diversity from a social and cultural perspective</w:t>
      </w:r>
    </w:p>
    <w:p w14:paraId="5E3EF4B6"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Forms and aspects of gender expression and role change</w:t>
      </w:r>
    </w:p>
    <w:p w14:paraId="303ED651"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Name and gender marker changes, documentation issues</w:t>
      </w:r>
    </w:p>
    <w:p w14:paraId="75B09FFD"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Psychotherapy including counselling and support for changes in gender role</w:t>
      </w:r>
    </w:p>
    <w:p w14:paraId="13F6A074"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Criteria for surgery for transgender and gender diverse patients</w:t>
      </w:r>
    </w:p>
    <w:p w14:paraId="77763936"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Referral process for surgery (local context)</w:t>
      </w:r>
    </w:p>
    <w:p w14:paraId="0D7DB9DE"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Physical effects of hormones for transgender and gender diverse patients</w:t>
      </w:r>
    </w:p>
    <w:p w14:paraId="2B5026D5" w14:textId="77777777" w:rsidR="00EF10D8" w:rsidRPr="00AF440D" w:rsidRDefault="00EF10D8" w:rsidP="00EF10D8">
      <w:pPr>
        <w:pStyle w:val="Lijstalinea"/>
        <w:numPr>
          <w:ilvl w:val="0"/>
          <w:numId w:val="12"/>
        </w:numPr>
        <w:spacing w:afterLines="60" w:after="144" w:line="240" w:lineRule="auto"/>
        <w:contextualSpacing w:val="0"/>
        <w:rPr>
          <w:rFonts w:ascii="Arial" w:hAnsi="Arial" w:cs="Arial"/>
          <w:sz w:val="20"/>
          <w:szCs w:val="20"/>
        </w:rPr>
      </w:pPr>
      <w:r w:rsidRPr="00AF440D">
        <w:rPr>
          <w:rFonts w:ascii="Arial" w:hAnsi="Arial" w:cs="Arial"/>
          <w:sz w:val="20"/>
          <w:szCs w:val="20"/>
        </w:rPr>
        <w:t>Social supports for transgender and gender diverse patients</w:t>
      </w:r>
    </w:p>
    <w:p w14:paraId="3CEE8129" w14:textId="77777777" w:rsidR="00EF10D8" w:rsidRPr="00AF440D" w:rsidRDefault="00EF10D8" w:rsidP="00EF10D8">
      <w:pPr>
        <w:spacing w:afterLines="60" w:after="144"/>
        <w:rPr>
          <w:rFonts w:ascii="Arial" w:hAnsi="Arial" w:cs="Arial"/>
          <w:sz w:val="20"/>
          <w:szCs w:val="20"/>
        </w:rPr>
      </w:pPr>
    </w:p>
    <w:p w14:paraId="24DDDC2F"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Based on your comments and suggestions in round 1, a number of additional topics were noted. Please rate the priority of each topic in teaching undergraduate medical students: [options: Low priority - do not include</w:t>
      </w:r>
      <w:r w:rsidRPr="00AF440D">
        <w:rPr>
          <w:rFonts w:ascii="Arial" w:hAnsi="Arial" w:cs="Arial"/>
          <w:sz w:val="20"/>
          <w:szCs w:val="20"/>
        </w:rPr>
        <w:tab/>
        <w:t>Medium priority, may include</w:t>
      </w:r>
      <w:r w:rsidRPr="00AF440D">
        <w:rPr>
          <w:rFonts w:ascii="Arial" w:hAnsi="Arial" w:cs="Arial"/>
          <w:sz w:val="20"/>
          <w:szCs w:val="20"/>
        </w:rPr>
        <w:tab/>
        <w:t>High priority, definitely include]</w:t>
      </w:r>
    </w:p>
    <w:p w14:paraId="6E54CC31" w14:textId="77777777" w:rsidR="00EF10D8" w:rsidRPr="00AF440D" w:rsidRDefault="00EF10D8" w:rsidP="00EF10D8">
      <w:pPr>
        <w:pStyle w:val="Lijstalinea"/>
        <w:numPr>
          <w:ilvl w:val="0"/>
          <w:numId w:val="13"/>
        </w:numPr>
        <w:spacing w:afterLines="60" w:after="144" w:line="240" w:lineRule="auto"/>
        <w:contextualSpacing w:val="0"/>
        <w:rPr>
          <w:rFonts w:ascii="Arial" w:hAnsi="Arial" w:cs="Arial"/>
          <w:sz w:val="20"/>
          <w:szCs w:val="20"/>
        </w:rPr>
      </w:pPr>
      <w:r w:rsidRPr="00AF440D">
        <w:rPr>
          <w:rFonts w:ascii="Arial" w:hAnsi="Arial" w:cs="Arial"/>
          <w:sz w:val="20"/>
          <w:szCs w:val="20"/>
        </w:rPr>
        <w:t>How negative and traumatic experiences in the medical system for transgender and gender diverse patients impacts quality of and access to care</w:t>
      </w:r>
    </w:p>
    <w:p w14:paraId="462A5AD4" w14:textId="77777777" w:rsidR="00EF10D8" w:rsidRPr="00AF440D" w:rsidRDefault="00EF10D8" w:rsidP="00EF10D8">
      <w:pPr>
        <w:pStyle w:val="Lijstalinea"/>
        <w:numPr>
          <w:ilvl w:val="0"/>
          <w:numId w:val="13"/>
        </w:numPr>
        <w:spacing w:afterLines="60" w:after="144" w:line="240" w:lineRule="auto"/>
        <w:contextualSpacing w:val="0"/>
        <w:rPr>
          <w:rFonts w:ascii="Arial" w:hAnsi="Arial" w:cs="Arial"/>
          <w:sz w:val="20"/>
          <w:szCs w:val="20"/>
        </w:rPr>
      </w:pPr>
      <w:r w:rsidRPr="00AF440D">
        <w:rPr>
          <w:rFonts w:ascii="Arial" w:hAnsi="Arial" w:cs="Arial"/>
          <w:sz w:val="20"/>
          <w:szCs w:val="20"/>
        </w:rPr>
        <w:t>Specific considerations for youth transgender and gender diverse patients, including age of consent and legally permissible interventions</w:t>
      </w:r>
    </w:p>
    <w:p w14:paraId="61EB4790" w14:textId="77777777" w:rsidR="00EF10D8" w:rsidRPr="00AF440D" w:rsidRDefault="00EF10D8" w:rsidP="00EF10D8">
      <w:pPr>
        <w:pStyle w:val="Lijstalinea"/>
        <w:numPr>
          <w:ilvl w:val="0"/>
          <w:numId w:val="13"/>
        </w:numPr>
        <w:spacing w:afterLines="60" w:after="144" w:line="240" w:lineRule="auto"/>
        <w:contextualSpacing w:val="0"/>
        <w:rPr>
          <w:rFonts w:ascii="Arial" w:hAnsi="Arial" w:cs="Arial"/>
          <w:sz w:val="20"/>
          <w:szCs w:val="20"/>
        </w:rPr>
      </w:pPr>
      <w:r w:rsidRPr="00AF440D">
        <w:rPr>
          <w:rFonts w:ascii="Arial" w:hAnsi="Arial" w:cs="Arial"/>
          <w:sz w:val="20"/>
          <w:szCs w:val="20"/>
        </w:rPr>
        <w:t>Suicide in the transgender and gender diverse patient population</w:t>
      </w:r>
    </w:p>
    <w:p w14:paraId="1A254345" w14:textId="77777777" w:rsidR="00EF10D8" w:rsidRPr="00AF440D" w:rsidRDefault="00EF10D8" w:rsidP="00EF10D8">
      <w:pPr>
        <w:pStyle w:val="Lijstalinea"/>
        <w:numPr>
          <w:ilvl w:val="0"/>
          <w:numId w:val="13"/>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The role of the family physician in prescribing and maintaining hormone therapy for </w:t>
      </w:r>
      <w:proofErr w:type="spellStart"/>
      <w:r w:rsidRPr="00AF440D">
        <w:rPr>
          <w:rFonts w:ascii="Arial" w:hAnsi="Arial" w:cs="Arial"/>
          <w:sz w:val="20"/>
          <w:szCs w:val="20"/>
        </w:rPr>
        <w:t>for</w:t>
      </w:r>
      <w:proofErr w:type="spellEnd"/>
      <w:r w:rsidRPr="00AF440D">
        <w:rPr>
          <w:rFonts w:ascii="Arial" w:hAnsi="Arial" w:cs="Arial"/>
          <w:sz w:val="20"/>
          <w:szCs w:val="20"/>
        </w:rPr>
        <w:t xml:space="preserve"> transgender and gender diverse patients</w:t>
      </w:r>
    </w:p>
    <w:p w14:paraId="22926D62" w14:textId="77777777" w:rsidR="00EF10D8" w:rsidRPr="00AF440D" w:rsidRDefault="00EF10D8" w:rsidP="00EF10D8">
      <w:pPr>
        <w:pStyle w:val="Lijstalinea"/>
        <w:numPr>
          <w:ilvl w:val="0"/>
          <w:numId w:val="13"/>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Basic overview of post-surgical anatomy for </w:t>
      </w:r>
      <w:proofErr w:type="spellStart"/>
      <w:r w:rsidRPr="00AF440D">
        <w:rPr>
          <w:rFonts w:ascii="Arial" w:hAnsi="Arial" w:cs="Arial"/>
          <w:sz w:val="20"/>
          <w:szCs w:val="20"/>
        </w:rPr>
        <w:t>for</w:t>
      </w:r>
      <w:proofErr w:type="spellEnd"/>
      <w:r w:rsidRPr="00AF440D">
        <w:rPr>
          <w:rFonts w:ascii="Arial" w:hAnsi="Arial" w:cs="Arial"/>
          <w:sz w:val="20"/>
          <w:szCs w:val="20"/>
        </w:rPr>
        <w:t xml:space="preserve"> transgender and gender diverse patients (</w:t>
      </w:r>
      <w:proofErr w:type="spellStart"/>
      <w:r w:rsidRPr="00AF440D">
        <w:rPr>
          <w:rFonts w:ascii="Arial" w:hAnsi="Arial" w:cs="Arial"/>
          <w:sz w:val="20"/>
          <w:szCs w:val="20"/>
        </w:rPr>
        <w:t>ie</w:t>
      </w:r>
      <w:proofErr w:type="spellEnd"/>
      <w:r w:rsidRPr="00AF440D">
        <w:rPr>
          <w:rFonts w:ascii="Arial" w:hAnsi="Arial" w:cs="Arial"/>
          <w:sz w:val="20"/>
          <w:szCs w:val="20"/>
        </w:rPr>
        <w:t xml:space="preserve">. </w:t>
      </w:r>
      <w:proofErr w:type="spellStart"/>
      <w:r w:rsidRPr="00AF440D">
        <w:rPr>
          <w:rFonts w:ascii="Arial" w:hAnsi="Arial" w:cs="Arial"/>
          <w:sz w:val="20"/>
          <w:szCs w:val="20"/>
        </w:rPr>
        <w:t>vaginoplasty</w:t>
      </w:r>
      <w:proofErr w:type="spellEnd"/>
      <w:r w:rsidRPr="00AF440D">
        <w:rPr>
          <w:rFonts w:ascii="Arial" w:hAnsi="Arial" w:cs="Arial"/>
          <w:sz w:val="20"/>
          <w:szCs w:val="20"/>
        </w:rPr>
        <w:t xml:space="preserve">, metoidioplasty, </w:t>
      </w:r>
      <w:proofErr w:type="spellStart"/>
      <w:r w:rsidRPr="00AF440D">
        <w:rPr>
          <w:rFonts w:ascii="Arial" w:hAnsi="Arial" w:cs="Arial"/>
          <w:sz w:val="20"/>
          <w:szCs w:val="20"/>
        </w:rPr>
        <w:t>phalloplasty</w:t>
      </w:r>
      <w:proofErr w:type="spellEnd"/>
      <w:r w:rsidRPr="00AF440D">
        <w:rPr>
          <w:rFonts w:ascii="Arial" w:hAnsi="Arial" w:cs="Arial"/>
          <w:sz w:val="20"/>
          <w:szCs w:val="20"/>
        </w:rPr>
        <w:t>, chest reconstruction)</w:t>
      </w:r>
    </w:p>
    <w:p w14:paraId="667B0EBC" w14:textId="77777777" w:rsidR="00EF10D8" w:rsidRPr="00AF440D" w:rsidRDefault="00EF10D8" w:rsidP="00EF10D8">
      <w:pPr>
        <w:pStyle w:val="Lijstalinea"/>
        <w:numPr>
          <w:ilvl w:val="0"/>
          <w:numId w:val="13"/>
        </w:numPr>
        <w:spacing w:afterLines="60" w:after="144" w:line="240" w:lineRule="auto"/>
        <w:contextualSpacing w:val="0"/>
        <w:rPr>
          <w:rFonts w:ascii="Arial" w:hAnsi="Arial" w:cs="Arial"/>
          <w:sz w:val="20"/>
          <w:szCs w:val="20"/>
        </w:rPr>
      </w:pPr>
      <w:r w:rsidRPr="00AF440D">
        <w:rPr>
          <w:rFonts w:ascii="Arial" w:hAnsi="Arial" w:cs="Arial"/>
          <w:sz w:val="20"/>
          <w:szCs w:val="20"/>
        </w:rPr>
        <w:t>Financial cost of for transgender and gender diverse related surgeries in Canada</w:t>
      </w:r>
    </w:p>
    <w:p w14:paraId="19F11CBD" w14:textId="77777777" w:rsidR="00EF10D8" w:rsidRPr="00AF440D" w:rsidRDefault="00EF10D8" w:rsidP="00EF10D8">
      <w:pPr>
        <w:spacing w:afterLines="60" w:after="144"/>
        <w:rPr>
          <w:rFonts w:ascii="Arial" w:hAnsi="Arial" w:cs="Arial"/>
          <w:sz w:val="20"/>
          <w:szCs w:val="20"/>
        </w:rPr>
      </w:pPr>
    </w:p>
    <w:p w14:paraId="51E83B5A"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Are there any other topics missing?</w:t>
      </w:r>
    </w:p>
    <w:p w14:paraId="5539CA7B" w14:textId="77777777" w:rsidR="00EF10D8" w:rsidRPr="00AF440D" w:rsidRDefault="00EF10D8" w:rsidP="00EF10D8">
      <w:pPr>
        <w:spacing w:afterLines="60" w:after="144"/>
        <w:rPr>
          <w:rFonts w:ascii="Arial" w:hAnsi="Arial" w:cs="Arial"/>
          <w:sz w:val="20"/>
          <w:szCs w:val="20"/>
        </w:rPr>
      </w:pPr>
    </w:p>
    <w:p w14:paraId="2519A1E8"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Do you have any suggested changes to the wording on any of these topics?</w:t>
      </w:r>
    </w:p>
    <w:p w14:paraId="63651739" w14:textId="77777777" w:rsidR="00EF10D8" w:rsidRPr="00AF440D" w:rsidRDefault="00EF10D8" w:rsidP="00EF10D8">
      <w:pPr>
        <w:spacing w:afterLines="60" w:after="144"/>
        <w:rPr>
          <w:rFonts w:ascii="Arial" w:hAnsi="Arial" w:cs="Arial"/>
          <w:sz w:val="20"/>
          <w:szCs w:val="20"/>
        </w:rPr>
      </w:pPr>
    </w:p>
    <w:p w14:paraId="3838CCA9"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Outcomes</w:t>
      </w:r>
    </w:p>
    <w:p w14:paraId="761038E5"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How important are the following graduating outcomes of teaching gender affirming and transition related care to undergraduate medical students? [Options: Not at all important</w:t>
      </w:r>
      <w:r w:rsidRPr="00AF440D">
        <w:rPr>
          <w:rFonts w:ascii="Arial" w:hAnsi="Arial" w:cs="Arial"/>
          <w:sz w:val="20"/>
          <w:szCs w:val="20"/>
        </w:rPr>
        <w:tab/>
        <w:t>A little important</w:t>
      </w:r>
      <w:r w:rsidRPr="00AF440D">
        <w:rPr>
          <w:rFonts w:ascii="Arial" w:hAnsi="Arial" w:cs="Arial"/>
          <w:sz w:val="20"/>
          <w:szCs w:val="20"/>
        </w:rPr>
        <w:tab/>
        <w:t>Quite important - Very important</w:t>
      </w:r>
      <w:r w:rsidRPr="00AF440D">
        <w:rPr>
          <w:rFonts w:ascii="Arial" w:hAnsi="Arial" w:cs="Arial"/>
          <w:sz w:val="20"/>
          <w:szCs w:val="20"/>
        </w:rPr>
        <w:tab/>
        <w:t>Extremely important]</w:t>
      </w:r>
    </w:p>
    <w:p w14:paraId="6763B0A9"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lastRenderedPageBreak/>
        <w:t>Demonstrate competence and confidence in using terminology as it relates to sex, gender, anatomy and sexual health.</w:t>
      </w:r>
    </w:p>
    <w:p w14:paraId="767D2CD1"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Demonstrate ability to describe primary care assessment and screening commensurate with the physical attributes of the patient</w:t>
      </w:r>
    </w:p>
    <w:p w14:paraId="3B2D3D92"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Understand medical therapies and their side effects</w:t>
      </w:r>
    </w:p>
    <w:p w14:paraId="519FD664"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Understand gender affirming surgical procedures and their outcomes</w:t>
      </w:r>
    </w:p>
    <w:p w14:paraId="7BF097AF"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Advocate for TGD patients and their healthcare</w:t>
      </w:r>
    </w:p>
    <w:p w14:paraId="57F82137"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Understand potential provider/system barriers to TGD patients’ accessing health care.</w:t>
      </w:r>
    </w:p>
    <w:p w14:paraId="651F1292"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Build rapport and relationships with TGD patients</w:t>
      </w:r>
    </w:p>
    <w:p w14:paraId="741851D6"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Identify and address personal biases as related to sex and gender</w:t>
      </w:r>
    </w:p>
    <w:p w14:paraId="64088709"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Be aware of general issues regarding TGD health</w:t>
      </w:r>
    </w:p>
    <w:p w14:paraId="36314DB2"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Demonstrate a continued commitment to learning about TGD community</w:t>
      </w:r>
    </w:p>
    <w:p w14:paraId="1C7E6EF2"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Develop skills in gender affirming approaches to sexual health and history taking as it relates to gender</w:t>
      </w:r>
    </w:p>
    <w:p w14:paraId="3973061E"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Keep up to date on the science of TGD healthcare</w:t>
      </w:r>
    </w:p>
    <w:p w14:paraId="0CBE7C53"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Keep up to date on social and legal issues regarding TGD individuals</w:t>
      </w:r>
    </w:p>
    <w:p w14:paraId="02B44450"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Teach others about TGD healthcare</w:t>
      </w:r>
    </w:p>
    <w:p w14:paraId="58AD6177" w14:textId="77777777" w:rsidR="00EF10D8" w:rsidRPr="00AF440D" w:rsidRDefault="00EF10D8" w:rsidP="00EF10D8">
      <w:pPr>
        <w:pStyle w:val="Lijstalinea"/>
        <w:numPr>
          <w:ilvl w:val="0"/>
          <w:numId w:val="14"/>
        </w:numPr>
        <w:spacing w:afterLines="60" w:after="144" w:line="240" w:lineRule="auto"/>
        <w:contextualSpacing w:val="0"/>
        <w:rPr>
          <w:rFonts w:ascii="Arial" w:hAnsi="Arial" w:cs="Arial"/>
          <w:sz w:val="20"/>
          <w:szCs w:val="20"/>
        </w:rPr>
      </w:pPr>
      <w:r w:rsidRPr="00AF440D">
        <w:rPr>
          <w:rFonts w:ascii="Arial" w:hAnsi="Arial" w:cs="Arial"/>
          <w:sz w:val="20"/>
          <w:szCs w:val="20"/>
        </w:rPr>
        <w:t>Conduct research and other scholarship regarding TGD healthcare</w:t>
      </w:r>
    </w:p>
    <w:p w14:paraId="0E80F91D"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p>
    <w:p w14:paraId="04E180B7"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Are there any other outcomes for UME students that should be added to the list?</w:t>
      </w:r>
    </w:p>
    <w:p w14:paraId="5A13A247" w14:textId="77777777" w:rsidR="00EF10D8" w:rsidRPr="00AF440D" w:rsidRDefault="00EF10D8" w:rsidP="00EF10D8">
      <w:pPr>
        <w:spacing w:afterLines="60" w:after="144"/>
        <w:rPr>
          <w:rFonts w:ascii="Arial" w:hAnsi="Arial" w:cs="Arial"/>
          <w:sz w:val="20"/>
          <w:szCs w:val="20"/>
        </w:rPr>
      </w:pPr>
    </w:p>
    <w:p w14:paraId="3E4567AB"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Curriculum</w:t>
      </w:r>
    </w:p>
    <w:p w14:paraId="07A6D7DA"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To what extent should the following people be involved in teaching gender affirming and transition related care to undergraduate medical students? [options: Low priority – do not involve</w:t>
      </w:r>
      <w:r w:rsidRPr="00AF440D">
        <w:rPr>
          <w:rFonts w:ascii="Arial" w:hAnsi="Arial" w:cs="Arial"/>
          <w:sz w:val="20"/>
          <w:szCs w:val="20"/>
        </w:rPr>
        <w:tab/>
        <w:t>Medium priority, may involve</w:t>
      </w:r>
      <w:r w:rsidRPr="00AF440D">
        <w:rPr>
          <w:rFonts w:ascii="Arial" w:hAnsi="Arial" w:cs="Arial"/>
          <w:sz w:val="20"/>
          <w:szCs w:val="20"/>
        </w:rPr>
        <w:tab/>
        <w:t>High priority, definitely involve]</w:t>
      </w:r>
    </w:p>
    <w:p w14:paraId="26B379AC" w14:textId="77777777" w:rsidR="00EF10D8" w:rsidRPr="00AF440D" w:rsidRDefault="00EF10D8" w:rsidP="00EF10D8">
      <w:pPr>
        <w:pStyle w:val="Lijstalinea"/>
        <w:numPr>
          <w:ilvl w:val="0"/>
          <w:numId w:val="15"/>
        </w:numPr>
        <w:spacing w:afterLines="60" w:after="144" w:line="240" w:lineRule="auto"/>
        <w:contextualSpacing w:val="0"/>
        <w:rPr>
          <w:rFonts w:ascii="Arial" w:hAnsi="Arial" w:cs="Arial"/>
          <w:sz w:val="20"/>
          <w:szCs w:val="20"/>
        </w:rPr>
      </w:pPr>
      <w:r w:rsidRPr="00AF440D">
        <w:rPr>
          <w:rFonts w:ascii="Arial" w:hAnsi="Arial" w:cs="Arial"/>
          <w:sz w:val="20"/>
          <w:szCs w:val="20"/>
        </w:rPr>
        <w:t>Preceptors with substantial experience in providing transgender and gender diverse healthcare</w:t>
      </w:r>
    </w:p>
    <w:p w14:paraId="4E4F8D28" w14:textId="77777777" w:rsidR="00EF10D8" w:rsidRPr="00AF440D" w:rsidRDefault="00EF10D8" w:rsidP="00EF10D8">
      <w:pPr>
        <w:pStyle w:val="Lijstalinea"/>
        <w:numPr>
          <w:ilvl w:val="0"/>
          <w:numId w:val="15"/>
        </w:numPr>
        <w:spacing w:afterLines="60" w:after="144" w:line="240" w:lineRule="auto"/>
        <w:contextualSpacing w:val="0"/>
        <w:rPr>
          <w:rFonts w:ascii="Arial" w:hAnsi="Arial" w:cs="Arial"/>
          <w:sz w:val="20"/>
          <w:szCs w:val="20"/>
        </w:rPr>
      </w:pPr>
      <w:r w:rsidRPr="00AF440D">
        <w:rPr>
          <w:rFonts w:ascii="Arial" w:hAnsi="Arial" w:cs="Arial"/>
          <w:sz w:val="20"/>
          <w:szCs w:val="20"/>
        </w:rPr>
        <w:t>Preceptors with some experience in providing transgender and gender diverse healthcare</w:t>
      </w:r>
    </w:p>
    <w:p w14:paraId="5CE710EB" w14:textId="77777777" w:rsidR="00EF10D8" w:rsidRPr="00AF440D" w:rsidRDefault="00EF10D8" w:rsidP="00EF10D8">
      <w:pPr>
        <w:pStyle w:val="Lijstalinea"/>
        <w:numPr>
          <w:ilvl w:val="0"/>
          <w:numId w:val="15"/>
        </w:numPr>
        <w:spacing w:afterLines="60" w:after="144" w:line="240" w:lineRule="auto"/>
        <w:contextualSpacing w:val="0"/>
        <w:rPr>
          <w:rFonts w:ascii="Arial" w:hAnsi="Arial" w:cs="Arial"/>
          <w:sz w:val="20"/>
          <w:szCs w:val="20"/>
        </w:rPr>
      </w:pPr>
      <w:r w:rsidRPr="00AF440D">
        <w:rPr>
          <w:rFonts w:ascii="Arial" w:hAnsi="Arial" w:cs="Arial"/>
          <w:sz w:val="20"/>
          <w:szCs w:val="20"/>
        </w:rPr>
        <w:t>Preceptors with no experience in providing transgender and gender diverse healthcare</w:t>
      </w:r>
    </w:p>
    <w:p w14:paraId="2780FBF6" w14:textId="77777777" w:rsidR="00EF10D8" w:rsidRPr="00AF440D" w:rsidRDefault="00EF10D8" w:rsidP="00EF10D8">
      <w:pPr>
        <w:pStyle w:val="Lijstalinea"/>
        <w:numPr>
          <w:ilvl w:val="0"/>
          <w:numId w:val="15"/>
        </w:numPr>
        <w:spacing w:afterLines="60" w:after="144" w:line="240" w:lineRule="auto"/>
        <w:contextualSpacing w:val="0"/>
        <w:rPr>
          <w:rFonts w:ascii="Arial" w:hAnsi="Arial" w:cs="Arial"/>
          <w:sz w:val="20"/>
          <w:szCs w:val="20"/>
        </w:rPr>
      </w:pPr>
      <w:r w:rsidRPr="00AF440D">
        <w:rPr>
          <w:rFonts w:ascii="Arial" w:hAnsi="Arial" w:cs="Arial"/>
          <w:sz w:val="20"/>
          <w:szCs w:val="20"/>
        </w:rPr>
        <w:t>Allied health professionals with substantial experience in providing transgender and gender diverse healthcare</w:t>
      </w:r>
    </w:p>
    <w:p w14:paraId="1A4ED81F" w14:textId="77777777" w:rsidR="00EF10D8" w:rsidRPr="00AF440D" w:rsidRDefault="00EF10D8" w:rsidP="00EF10D8">
      <w:pPr>
        <w:pStyle w:val="Lijstalinea"/>
        <w:numPr>
          <w:ilvl w:val="0"/>
          <w:numId w:val="15"/>
        </w:numPr>
        <w:spacing w:afterLines="60" w:after="144" w:line="240" w:lineRule="auto"/>
        <w:contextualSpacing w:val="0"/>
        <w:rPr>
          <w:rFonts w:ascii="Arial" w:hAnsi="Arial" w:cs="Arial"/>
          <w:sz w:val="20"/>
          <w:szCs w:val="20"/>
        </w:rPr>
      </w:pPr>
      <w:r w:rsidRPr="00AF440D">
        <w:rPr>
          <w:rFonts w:ascii="Arial" w:hAnsi="Arial" w:cs="Arial"/>
          <w:sz w:val="20"/>
          <w:szCs w:val="20"/>
        </w:rPr>
        <w:t>Allied health professionals with some experience in providing transgender and gender diverse healthcare</w:t>
      </w:r>
    </w:p>
    <w:p w14:paraId="5DC5E93D" w14:textId="77777777" w:rsidR="00EF10D8" w:rsidRPr="00AF440D" w:rsidRDefault="00EF10D8" w:rsidP="00EF10D8">
      <w:pPr>
        <w:pStyle w:val="Lijstalinea"/>
        <w:numPr>
          <w:ilvl w:val="0"/>
          <w:numId w:val="15"/>
        </w:numPr>
        <w:spacing w:afterLines="60" w:after="144" w:line="240" w:lineRule="auto"/>
        <w:contextualSpacing w:val="0"/>
        <w:rPr>
          <w:rFonts w:ascii="Arial" w:hAnsi="Arial" w:cs="Arial"/>
          <w:sz w:val="20"/>
          <w:szCs w:val="20"/>
        </w:rPr>
      </w:pPr>
      <w:r w:rsidRPr="00AF440D">
        <w:rPr>
          <w:rFonts w:ascii="Arial" w:hAnsi="Arial" w:cs="Arial"/>
          <w:sz w:val="20"/>
          <w:szCs w:val="20"/>
        </w:rPr>
        <w:t>Allied health professionals with no experience in providing transgender and gender diverse healthcare</w:t>
      </w:r>
    </w:p>
    <w:p w14:paraId="0C91AA0C" w14:textId="77777777" w:rsidR="00EF10D8" w:rsidRPr="00AF440D" w:rsidRDefault="00EF10D8" w:rsidP="00EF10D8">
      <w:pPr>
        <w:pStyle w:val="Lijstalinea"/>
        <w:numPr>
          <w:ilvl w:val="0"/>
          <w:numId w:val="15"/>
        </w:numPr>
        <w:spacing w:afterLines="60" w:after="144" w:line="240" w:lineRule="auto"/>
        <w:contextualSpacing w:val="0"/>
        <w:rPr>
          <w:rFonts w:ascii="Arial" w:hAnsi="Arial" w:cs="Arial"/>
          <w:sz w:val="20"/>
          <w:szCs w:val="20"/>
        </w:rPr>
      </w:pPr>
      <w:r w:rsidRPr="00AF440D">
        <w:rPr>
          <w:rFonts w:ascii="Arial" w:hAnsi="Arial" w:cs="Arial"/>
          <w:sz w:val="20"/>
          <w:szCs w:val="20"/>
        </w:rPr>
        <w:t>Transgender and gender diverse community members currently in transition or receiving gender confirming care</w:t>
      </w:r>
    </w:p>
    <w:p w14:paraId="4B353C84" w14:textId="77777777" w:rsidR="00EF10D8" w:rsidRPr="00AF440D" w:rsidRDefault="00EF10D8" w:rsidP="00EF10D8">
      <w:pPr>
        <w:pStyle w:val="Lijstalinea"/>
        <w:numPr>
          <w:ilvl w:val="0"/>
          <w:numId w:val="15"/>
        </w:numPr>
        <w:spacing w:afterLines="60" w:after="144" w:line="240" w:lineRule="auto"/>
        <w:contextualSpacing w:val="0"/>
        <w:rPr>
          <w:rFonts w:ascii="Arial" w:hAnsi="Arial" w:cs="Arial"/>
          <w:sz w:val="20"/>
          <w:szCs w:val="20"/>
        </w:rPr>
      </w:pPr>
      <w:r w:rsidRPr="00AF440D">
        <w:rPr>
          <w:rFonts w:ascii="Arial" w:hAnsi="Arial" w:cs="Arial"/>
          <w:sz w:val="20"/>
          <w:szCs w:val="20"/>
        </w:rPr>
        <w:t>Transgender and gender diverse community members who have transitioned and/or completed gender confirming care</w:t>
      </w:r>
    </w:p>
    <w:p w14:paraId="545F6998" w14:textId="77777777" w:rsidR="00EF10D8" w:rsidRPr="00AF440D" w:rsidRDefault="00EF10D8" w:rsidP="00EF10D8">
      <w:pPr>
        <w:pStyle w:val="Lijstalinea"/>
        <w:numPr>
          <w:ilvl w:val="0"/>
          <w:numId w:val="15"/>
        </w:numPr>
        <w:spacing w:afterLines="60" w:after="144" w:line="240" w:lineRule="auto"/>
        <w:contextualSpacing w:val="0"/>
        <w:rPr>
          <w:rFonts w:ascii="Arial" w:hAnsi="Arial" w:cs="Arial"/>
          <w:sz w:val="20"/>
          <w:szCs w:val="20"/>
        </w:rPr>
      </w:pPr>
      <w:r w:rsidRPr="00AF440D">
        <w:rPr>
          <w:rFonts w:ascii="Arial" w:hAnsi="Arial" w:cs="Arial"/>
          <w:sz w:val="20"/>
          <w:szCs w:val="20"/>
        </w:rPr>
        <w:lastRenderedPageBreak/>
        <w:t>Family members of transgender and gender diverse persons</w:t>
      </w:r>
    </w:p>
    <w:p w14:paraId="6B62DDA8"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p>
    <w:p w14:paraId="4ADE7662"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Are there any other persons that should be involved in teaching gender affirming and transition related care to undergraduate medical students?</w:t>
      </w:r>
    </w:p>
    <w:p w14:paraId="53706D49" w14:textId="77777777" w:rsidR="00EF10D8" w:rsidRPr="00AF440D" w:rsidRDefault="00EF10D8" w:rsidP="00EF10D8">
      <w:pPr>
        <w:spacing w:afterLines="60" w:after="144"/>
        <w:rPr>
          <w:rFonts w:ascii="Arial" w:hAnsi="Arial" w:cs="Arial"/>
          <w:sz w:val="20"/>
          <w:szCs w:val="20"/>
        </w:rPr>
      </w:pPr>
    </w:p>
    <w:p w14:paraId="1B1D61A3"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How much time during the preclinical phase should be given to teaching gender affirming and transition related care to medical students?</w:t>
      </w:r>
    </w:p>
    <w:p w14:paraId="51377511" w14:textId="77777777" w:rsidR="00EF10D8" w:rsidRPr="00AF440D" w:rsidRDefault="00EF10D8" w:rsidP="00EF10D8">
      <w:pPr>
        <w:pStyle w:val="Lijstalinea"/>
        <w:numPr>
          <w:ilvl w:val="0"/>
          <w:numId w:val="16"/>
        </w:numPr>
        <w:spacing w:afterLines="60" w:after="144" w:line="240" w:lineRule="auto"/>
        <w:contextualSpacing w:val="0"/>
        <w:rPr>
          <w:rFonts w:ascii="Arial" w:hAnsi="Arial" w:cs="Arial"/>
          <w:sz w:val="20"/>
          <w:szCs w:val="20"/>
        </w:rPr>
      </w:pPr>
      <w:r w:rsidRPr="00AF440D">
        <w:rPr>
          <w:rFonts w:ascii="Arial" w:hAnsi="Arial" w:cs="Arial"/>
          <w:sz w:val="20"/>
          <w:szCs w:val="20"/>
        </w:rPr>
        <w:t>&lt;1 hour</w:t>
      </w:r>
    </w:p>
    <w:p w14:paraId="5792F89F" w14:textId="77777777" w:rsidR="00EF10D8" w:rsidRPr="00AF440D" w:rsidRDefault="00EF10D8" w:rsidP="00EF10D8">
      <w:pPr>
        <w:pStyle w:val="Lijstalinea"/>
        <w:numPr>
          <w:ilvl w:val="0"/>
          <w:numId w:val="16"/>
        </w:numPr>
        <w:spacing w:afterLines="60" w:after="144" w:line="240" w:lineRule="auto"/>
        <w:contextualSpacing w:val="0"/>
        <w:rPr>
          <w:rFonts w:ascii="Arial" w:hAnsi="Arial" w:cs="Arial"/>
          <w:sz w:val="20"/>
          <w:szCs w:val="20"/>
        </w:rPr>
      </w:pPr>
      <w:r w:rsidRPr="00AF440D">
        <w:rPr>
          <w:rFonts w:ascii="Arial" w:hAnsi="Arial" w:cs="Arial"/>
          <w:sz w:val="20"/>
          <w:szCs w:val="20"/>
        </w:rPr>
        <w:t>1-3 hours</w:t>
      </w:r>
    </w:p>
    <w:p w14:paraId="3C58D7BC" w14:textId="77777777" w:rsidR="00EF10D8" w:rsidRPr="00AF440D" w:rsidRDefault="00EF10D8" w:rsidP="00EF10D8">
      <w:pPr>
        <w:pStyle w:val="Lijstalinea"/>
        <w:numPr>
          <w:ilvl w:val="0"/>
          <w:numId w:val="16"/>
        </w:numPr>
        <w:spacing w:afterLines="60" w:after="144" w:line="240" w:lineRule="auto"/>
        <w:contextualSpacing w:val="0"/>
        <w:rPr>
          <w:rFonts w:ascii="Arial" w:hAnsi="Arial" w:cs="Arial"/>
          <w:sz w:val="20"/>
          <w:szCs w:val="20"/>
        </w:rPr>
      </w:pPr>
      <w:r w:rsidRPr="00AF440D">
        <w:rPr>
          <w:rFonts w:ascii="Arial" w:hAnsi="Arial" w:cs="Arial"/>
          <w:sz w:val="20"/>
          <w:szCs w:val="20"/>
        </w:rPr>
        <w:t>3-6 hours</w:t>
      </w:r>
    </w:p>
    <w:p w14:paraId="37591752" w14:textId="77777777" w:rsidR="00EF10D8" w:rsidRPr="00AF440D" w:rsidRDefault="00EF10D8" w:rsidP="00EF10D8">
      <w:pPr>
        <w:pStyle w:val="Lijstalinea"/>
        <w:numPr>
          <w:ilvl w:val="0"/>
          <w:numId w:val="16"/>
        </w:numPr>
        <w:spacing w:afterLines="60" w:after="144" w:line="240" w:lineRule="auto"/>
        <w:contextualSpacing w:val="0"/>
        <w:rPr>
          <w:rFonts w:ascii="Arial" w:hAnsi="Arial" w:cs="Arial"/>
          <w:sz w:val="20"/>
          <w:szCs w:val="20"/>
        </w:rPr>
      </w:pPr>
      <w:r w:rsidRPr="00AF440D">
        <w:rPr>
          <w:rFonts w:ascii="Arial" w:hAnsi="Arial" w:cs="Arial"/>
          <w:sz w:val="20"/>
          <w:szCs w:val="20"/>
        </w:rPr>
        <w:t>6-12 hours</w:t>
      </w:r>
    </w:p>
    <w:p w14:paraId="6FE07E53" w14:textId="77777777" w:rsidR="00EF10D8" w:rsidRPr="00AF440D" w:rsidRDefault="00EF10D8" w:rsidP="00EF10D8">
      <w:pPr>
        <w:pStyle w:val="Lijstalinea"/>
        <w:numPr>
          <w:ilvl w:val="0"/>
          <w:numId w:val="16"/>
        </w:numPr>
        <w:spacing w:afterLines="60" w:after="144" w:line="240" w:lineRule="auto"/>
        <w:contextualSpacing w:val="0"/>
        <w:rPr>
          <w:rFonts w:ascii="Arial" w:hAnsi="Arial" w:cs="Arial"/>
          <w:sz w:val="20"/>
          <w:szCs w:val="20"/>
        </w:rPr>
      </w:pPr>
      <w:r w:rsidRPr="00AF440D">
        <w:rPr>
          <w:rFonts w:ascii="Arial" w:hAnsi="Arial" w:cs="Arial"/>
          <w:sz w:val="20"/>
          <w:szCs w:val="20"/>
        </w:rPr>
        <w:t>12-20 hours</w:t>
      </w:r>
    </w:p>
    <w:p w14:paraId="125B38AE" w14:textId="77777777" w:rsidR="00EF10D8" w:rsidRPr="00AF440D" w:rsidRDefault="00EF10D8" w:rsidP="00EF10D8">
      <w:pPr>
        <w:pStyle w:val="Lijstalinea"/>
        <w:numPr>
          <w:ilvl w:val="0"/>
          <w:numId w:val="16"/>
        </w:numPr>
        <w:spacing w:afterLines="60" w:after="144" w:line="240" w:lineRule="auto"/>
        <w:contextualSpacing w:val="0"/>
        <w:rPr>
          <w:rFonts w:ascii="Arial" w:hAnsi="Arial" w:cs="Arial"/>
          <w:sz w:val="20"/>
          <w:szCs w:val="20"/>
        </w:rPr>
      </w:pPr>
      <w:r w:rsidRPr="00AF440D">
        <w:rPr>
          <w:rFonts w:ascii="Arial" w:hAnsi="Arial" w:cs="Arial"/>
          <w:sz w:val="20"/>
          <w:szCs w:val="20"/>
        </w:rPr>
        <w:t>More than 20 hours</w:t>
      </w:r>
    </w:p>
    <w:p w14:paraId="509A2EDF" w14:textId="77777777" w:rsidR="00EF10D8" w:rsidRPr="00AF440D" w:rsidRDefault="00EF10D8" w:rsidP="00EF10D8">
      <w:pPr>
        <w:spacing w:afterLines="60" w:after="144"/>
        <w:rPr>
          <w:rFonts w:ascii="Arial" w:hAnsi="Arial" w:cs="Arial"/>
          <w:sz w:val="20"/>
          <w:szCs w:val="20"/>
        </w:rPr>
      </w:pPr>
    </w:p>
    <w:p w14:paraId="4604FBAD"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How much time during clerkship should be given to teaching gender affirming and transition related care to medical students?</w:t>
      </w:r>
    </w:p>
    <w:p w14:paraId="4837ED72" w14:textId="77777777" w:rsidR="00EF10D8" w:rsidRPr="00AF440D" w:rsidRDefault="00EF10D8" w:rsidP="00EF10D8">
      <w:pPr>
        <w:pStyle w:val="Lijstalinea"/>
        <w:numPr>
          <w:ilvl w:val="0"/>
          <w:numId w:val="18"/>
        </w:numPr>
        <w:spacing w:afterLines="60" w:after="144" w:line="240" w:lineRule="auto"/>
        <w:contextualSpacing w:val="0"/>
        <w:rPr>
          <w:rFonts w:ascii="Arial" w:hAnsi="Arial" w:cs="Arial"/>
          <w:sz w:val="20"/>
          <w:szCs w:val="20"/>
        </w:rPr>
      </w:pPr>
      <w:r w:rsidRPr="00AF440D">
        <w:rPr>
          <w:rFonts w:ascii="Arial" w:hAnsi="Arial" w:cs="Arial"/>
          <w:sz w:val="20"/>
          <w:szCs w:val="20"/>
        </w:rPr>
        <w:t>&lt;1 hour</w:t>
      </w:r>
    </w:p>
    <w:p w14:paraId="249D00D6" w14:textId="77777777" w:rsidR="00EF10D8" w:rsidRPr="00AF440D" w:rsidRDefault="00EF10D8" w:rsidP="00EF10D8">
      <w:pPr>
        <w:pStyle w:val="Lijstalinea"/>
        <w:numPr>
          <w:ilvl w:val="0"/>
          <w:numId w:val="18"/>
        </w:numPr>
        <w:spacing w:afterLines="60" w:after="144" w:line="240" w:lineRule="auto"/>
        <w:contextualSpacing w:val="0"/>
        <w:rPr>
          <w:rFonts w:ascii="Arial" w:hAnsi="Arial" w:cs="Arial"/>
          <w:sz w:val="20"/>
          <w:szCs w:val="20"/>
        </w:rPr>
      </w:pPr>
      <w:r w:rsidRPr="00AF440D">
        <w:rPr>
          <w:rFonts w:ascii="Arial" w:hAnsi="Arial" w:cs="Arial"/>
          <w:sz w:val="20"/>
          <w:szCs w:val="20"/>
        </w:rPr>
        <w:t>1-3 hours</w:t>
      </w:r>
    </w:p>
    <w:p w14:paraId="3635E417" w14:textId="77777777" w:rsidR="00EF10D8" w:rsidRPr="00AF440D" w:rsidRDefault="00EF10D8" w:rsidP="00EF10D8">
      <w:pPr>
        <w:pStyle w:val="Lijstalinea"/>
        <w:numPr>
          <w:ilvl w:val="0"/>
          <w:numId w:val="18"/>
        </w:numPr>
        <w:spacing w:afterLines="60" w:after="144" w:line="240" w:lineRule="auto"/>
        <w:contextualSpacing w:val="0"/>
        <w:rPr>
          <w:rFonts w:ascii="Arial" w:hAnsi="Arial" w:cs="Arial"/>
          <w:sz w:val="20"/>
          <w:szCs w:val="20"/>
        </w:rPr>
      </w:pPr>
      <w:r w:rsidRPr="00AF440D">
        <w:rPr>
          <w:rFonts w:ascii="Arial" w:hAnsi="Arial" w:cs="Arial"/>
          <w:sz w:val="20"/>
          <w:szCs w:val="20"/>
        </w:rPr>
        <w:t>3-6 hours</w:t>
      </w:r>
    </w:p>
    <w:p w14:paraId="4C7C11BC" w14:textId="77777777" w:rsidR="00EF10D8" w:rsidRPr="00AF440D" w:rsidRDefault="00EF10D8" w:rsidP="00EF10D8">
      <w:pPr>
        <w:pStyle w:val="Lijstalinea"/>
        <w:numPr>
          <w:ilvl w:val="0"/>
          <w:numId w:val="18"/>
        </w:numPr>
        <w:spacing w:afterLines="60" w:after="144" w:line="240" w:lineRule="auto"/>
        <w:contextualSpacing w:val="0"/>
        <w:rPr>
          <w:rFonts w:ascii="Arial" w:hAnsi="Arial" w:cs="Arial"/>
          <w:sz w:val="20"/>
          <w:szCs w:val="20"/>
        </w:rPr>
      </w:pPr>
      <w:r w:rsidRPr="00AF440D">
        <w:rPr>
          <w:rFonts w:ascii="Arial" w:hAnsi="Arial" w:cs="Arial"/>
          <w:sz w:val="20"/>
          <w:szCs w:val="20"/>
        </w:rPr>
        <w:t>6-12 hours</w:t>
      </w:r>
    </w:p>
    <w:p w14:paraId="4EC128CC" w14:textId="77777777" w:rsidR="00EF10D8" w:rsidRPr="00AF440D" w:rsidRDefault="00EF10D8" w:rsidP="00EF10D8">
      <w:pPr>
        <w:pStyle w:val="Lijstalinea"/>
        <w:numPr>
          <w:ilvl w:val="0"/>
          <w:numId w:val="18"/>
        </w:numPr>
        <w:spacing w:afterLines="60" w:after="144" w:line="240" w:lineRule="auto"/>
        <w:contextualSpacing w:val="0"/>
        <w:rPr>
          <w:rFonts w:ascii="Arial" w:hAnsi="Arial" w:cs="Arial"/>
          <w:sz w:val="20"/>
          <w:szCs w:val="20"/>
        </w:rPr>
      </w:pPr>
      <w:r w:rsidRPr="00AF440D">
        <w:rPr>
          <w:rFonts w:ascii="Arial" w:hAnsi="Arial" w:cs="Arial"/>
          <w:sz w:val="20"/>
          <w:szCs w:val="20"/>
        </w:rPr>
        <w:t>12-20 hours</w:t>
      </w:r>
    </w:p>
    <w:p w14:paraId="6346E93B" w14:textId="77777777" w:rsidR="00EF10D8" w:rsidRPr="00AF440D" w:rsidRDefault="00EF10D8" w:rsidP="00EF10D8">
      <w:pPr>
        <w:pStyle w:val="Lijstalinea"/>
        <w:numPr>
          <w:ilvl w:val="0"/>
          <w:numId w:val="18"/>
        </w:numPr>
        <w:spacing w:afterLines="60" w:after="144" w:line="240" w:lineRule="auto"/>
        <w:contextualSpacing w:val="0"/>
        <w:rPr>
          <w:rFonts w:ascii="Arial" w:hAnsi="Arial" w:cs="Arial"/>
          <w:sz w:val="20"/>
          <w:szCs w:val="20"/>
        </w:rPr>
      </w:pPr>
      <w:r w:rsidRPr="00AF440D">
        <w:rPr>
          <w:rFonts w:ascii="Arial" w:hAnsi="Arial" w:cs="Arial"/>
          <w:sz w:val="20"/>
          <w:szCs w:val="20"/>
        </w:rPr>
        <w:t>More than 20 hours</w:t>
      </w:r>
    </w:p>
    <w:p w14:paraId="326E7572" w14:textId="77777777" w:rsidR="00EF10D8" w:rsidRPr="00AF440D" w:rsidRDefault="00EF10D8" w:rsidP="00EF10D8">
      <w:pPr>
        <w:spacing w:afterLines="60" w:after="144"/>
        <w:rPr>
          <w:rFonts w:ascii="Arial" w:hAnsi="Arial" w:cs="Arial"/>
          <w:sz w:val="20"/>
          <w:szCs w:val="20"/>
        </w:rPr>
      </w:pPr>
    </w:p>
    <w:p w14:paraId="529C574D"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Do you have any comments on the time allocated to teaching gender affirming and transition related care to medical students?</w:t>
      </w:r>
    </w:p>
    <w:p w14:paraId="52CE0A5A" w14:textId="77777777" w:rsidR="00EF10D8" w:rsidRPr="00AF440D" w:rsidRDefault="00EF10D8" w:rsidP="00EF10D8">
      <w:pPr>
        <w:spacing w:afterLines="60" w:after="144"/>
        <w:rPr>
          <w:rFonts w:ascii="Arial" w:hAnsi="Arial" w:cs="Arial"/>
          <w:sz w:val="20"/>
          <w:szCs w:val="20"/>
        </w:rPr>
      </w:pPr>
    </w:p>
    <w:p w14:paraId="456FEF51"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How should gender affirming and transition related care be taught to undergraduate medical students?  [options: Do not use</w:t>
      </w:r>
      <w:r w:rsidRPr="00AF440D">
        <w:rPr>
          <w:rFonts w:ascii="Arial" w:hAnsi="Arial" w:cs="Arial"/>
          <w:sz w:val="20"/>
          <w:szCs w:val="20"/>
        </w:rPr>
        <w:tab/>
      </w:r>
      <w:proofErr w:type="spellStart"/>
      <w:r w:rsidRPr="00AF440D">
        <w:rPr>
          <w:rFonts w:ascii="Arial" w:hAnsi="Arial" w:cs="Arial"/>
          <w:sz w:val="20"/>
          <w:szCs w:val="20"/>
        </w:rPr>
        <w:t>Use</w:t>
      </w:r>
      <w:proofErr w:type="spellEnd"/>
      <w:r w:rsidRPr="00AF440D">
        <w:rPr>
          <w:rFonts w:ascii="Arial" w:hAnsi="Arial" w:cs="Arial"/>
          <w:sz w:val="20"/>
          <w:szCs w:val="20"/>
        </w:rPr>
        <w:t xml:space="preserve"> a little</w:t>
      </w:r>
      <w:r w:rsidRPr="00AF440D">
        <w:rPr>
          <w:rFonts w:ascii="Arial" w:hAnsi="Arial" w:cs="Arial"/>
          <w:sz w:val="20"/>
          <w:szCs w:val="20"/>
        </w:rPr>
        <w:tab/>
        <w:t>Use a lot]</w:t>
      </w:r>
    </w:p>
    <w:p w14:paraId="723CE159"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t>Dedicated large group lectures/presentations/podcasted content</w:t>
      </w:r>
    </w:p>
    <w:p w14:paraId="249DF4E4"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t>Dedicated large group patient presentation or panel</w:t>
      </w:r>
    </w:p>
    <w:p w14:paraId="5AC8957C"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t>Interactive online learning modules</w:t>
      </w:r>
    </w:p>
    <w:p w14:paraId="5C1B9AE6"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t>Dedicated small group learning</w:t>
      </w:r>
    </w:p>
    <w:p w14:paraId="2A125621"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t>Dedicated practical skills sessions</w:t>
      </w:r>
    </w:p>
    <w:p w14:paraId="1C7EEB09"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t>Dedicated standardized patient interviews</w:t>
      </w:r>
    </w:p>
    <w:p w14:paraId="4C0B70D7"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t>Part of lectures on other topics</w:t>
      </w:r>
    </w:p>
    <w:p w14:paraId="6DF4C743"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t>Part of small group learning on other topics</w:t>
      </w:r>
    </w:p>
    <w:p w14:paraId="628D4967"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lastRenderedPageBreak/>
        <w:t>Part of practical skills sessions on other topics</w:t>
      </w:r>
    </w:p>
    <w:p w14:paraId="6145DC31"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t>Optional sessions (invited speakers, Student Interest Groups)</w:t>
      </w:r>
    </w:p>
    <w:p w14:paraId="501D3398"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t>Clinical experience (shadowing)</w:t>
      </w:r>
    </w:p>
    <w:p w14:paraId="0B51285C" w14:textId="77777777" w:rsidR="00EF10D8" w:rsidRPr="00AF440D" w:rsidRDefault="00EF10D8" w:rsidP="00EF10D8">
      <w:pPr>
        <w:pStyle w:val="Lijstalinea"/>
        <w:numPr>
          <w:ilvl w:val="0"/>
          <w:numId w:val="17"/>
        </w:numPr>
        <w:spacing w:afterLines="60" w:after="144" w:line="240" w:lineRule="auto"/>
        <w:contextualSpacing w:val="0"/>
        <w:rPr>
          <w:rFonts w:ascii="Arial" w:hAnsi="Arial" w:cs="Arial"/>
          <w:sz w:val="20"/>
          <w:szCs w:val="20"/>
        </w:rPr>
      </w:pPr>
      <w:r w:rsidRPr="00AF440D">
        <w:rPr>
          <w:rFonts w:ascii="Arial" w:hAnsi="Arial" w:cs="Arial"/>
          <w:sz w:val="20"/>
          <w:szCs w:val="20"/>
        </w:rPr>
        <w:t>Clinical experience (service learning)</w:t>
      </w:r>
    </w:p>
    <w:p w14:paraId="4386189B"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p>
    <w:p w14:paraId="0A6ABB38"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What other approaches to teaching gender affirming and transition related care to undergraduate medical students should we use?</w:t>
      </w:r>
    </w:p>
    <w:p w14:paraId="3B9CFCB4" w14:textId="77777777" w:rsidR="00EF10D8" w:rsidRPr="00AF440D" w:rsidRDefault="00EF10D8" w:rsidP="00EF10D8">
      <w:pPr>
        <w:pStyle w:val="Lijstalinea"/>
        <w:numPr>
          <w:ilvl w:val="0"/>
          <w:numId w:val="19"/>
        </w:numPr>
        <w:spacing w:afterLines="60" w:after="144" w:line="240" w:lineRule="auto"/>
        <w:contextualSpacing w:val="0"/>
        <w:rPr>
          <w:rFonts w:ascii="Arial" w:hAnsi="Arial" w:cs="Arial"/>
          <w:sz w:val="20"/>
          <w:szCs w:val="20"/>
        </w:rPr>
      </w:pPr>
      <w:r w:rsidRPr="00AF440D">
        <w:rPr>
          <w:rFonts w:ascii="Arial" w:hAnsi="Arial" w:cs="Arial"/>
          <w:sz w:val="20"/>
          <w:szCs w:val="20"/>
        </w:rPr>
        <w:t>To what extent should gender affirming and transition related care be a mandatory part of the undergraduate medical curriculum?</w:t>
      </w:r>
    </w:p>
    <w:p w14:paraId="1097696C" w14:textId="77777777" w:rsidR="00EF10D8" w:rsidRPr="00AF440D" w:rsidRDefault="00EF10D8" w:rsidP="00EF10D8">
      <w:pPr>
        <w:pStyle w:val="Lijstalinea"/>
        <w:numPr>
          <w:ilvl w:val="0"/>
          <w:numId w:val="19"/>
        </w:numPr>
        <w:spacing w:afterLines="60" w:after="144" w:line="240" w:lineRule="auto"/>
        <w:contextualSpacing w:val="0"/>
        <w:rPr>
          <w:rFonts w:ascii="Arial" w:hAnsi="Arial" w:cs="Arial"/>
          <w:sz w:val="20"/>
          <w:szCs w:val="20"/>
        </w:rPr>
      </w:pPr>
      <w:r w:rsidRPr="00AF440D">
        <w:rPr>
          <w:rFonts w:ascii="Arial" w:hAnsi="Arial" w:cs="Arial"/>
          <w:sz w:val="20"/>
          <w:szCs w:val="20"/>
        </w:rPr>
        <w:t>All aspects mandatory for all students as part of core curriculum</w:t>
      </w:r>
    </w:p>
    <w:p w14:paraId="1BB41A85" w14:textId="77777777" w:rsidR="00EF10D8" w:rsidRPr="00E54421" w:rsidRDefault="00EF10D8" w:rsidP="00EF10D8">
      <w:pPr>
        <w:pStyle w:val="Lijstalinea"/>
        <w:numPr>
          <w:ilvl w:val="0"/>
          <w:numId w:val="19"/>
        </w:numPr>
        <w:spacing w:afterLines="60" w:after="144" w:line="240" w:lineRule="auto"/>
        <w:contextualSpacing w:val="0"/>
        <w:rPr>
          <w:rFonts w:ascii="Arial" w:hAnsi="Arial" w:cs="Arial"/>
          <w:sz w:val="20"/>
          <w:szCs w:val="20"/>
          <w:lang w:val="fr-CH"/>
        </w:rPr>
      </w:pPr>
      <w:proofErr w:type="spellStart"/>
      <w:r w:rsidRPr="00E54421">
        <w:rPr>
          <w:rFonts w:ascii="Arial" w:hAnsi="Arial" w:cs="Arial"/>
          <w:sz w:val="20"/>
          <w:szCs w:val="20"/>
          <w:lang w:val="fr-CH"/>
        </w:rPr>
        <w:t>Mandatory</w:t>
      </w:r>
      <w:proofErr w:type="spellEnd"/>
      <w:r w:rsidRPr="00E54421">
        <w:rPr>
          <w:rFonts w:ascii="Arial" w:hAnsi="Arial" w:cs="Arial"/>
          <w:sz w:val="20"/>
          <w:szCs w:val="20"/>
          <w:lang w:val="fr-CH"/>
        </w:rPr>
        <w:t xml:space="preserve"> </w:t>
      </w:r>
      <w:proofErr w:type="spellStart"/>
      <w:r w:rsidRPr="00E54421">
        <w:rPr>
          <w:rFonts w:ascii="Arial" w:hAnsi="Arial" w:cs="Arial"/>
          <w:sz w:val="20"/>
          <w:szCs w:val="20"/>
          <w:lang w:val="fr-CH"/>
        </w:rPr>
        <w:t>core</w:t>
      </w:r>
      <w:proofErr w:type="spellEnd"/>
      <w:r w:rsidRPr="00E54421">
        <w:rPr>
          <w:rFonts w:ascii="Arial" w:hAnsi="Arial" w:cs="Arial"/>
          <w:sz w:val="20"/>
          <w:szCs w:val="20"/>
          <w:lang w:val="fr-CH"/>
        </w:rPr>
        <w:t xml:space="preserve"> curriculum plus </w:t>
      </w:r>
      <w:proofErr w:type="spellStart"/>
      <w:r w:rsidRPr="00E54421">
        <w:rPr>
          <w:rFonts w:ascii="Arial" w:hAnsi="Arial" w:cs="Arial"/>
          <w:sz w:val="20"/>
          <w:szCs w:val="20"/>
          <w:lang w:val="fr-CH"/>
        </w:rPr>
        <w:t>optional</w:t>
      </w:r>
      <w:proofErr w:type="spellEnd"/>
      <w:r w:rsidRPr="00E54421">
        <w:rPr>
          <w:rFonts w:ascii="Arial" w:hAnsi="Arial" w:cs="Arial"/>
          <w:sz w:val="20"/>
          <w:szCs w:val="20"/>
          <w:lang w:val="fr-CH"/>
        </w:rPr>
        <w:t xml:space="preserve"> sessions</w:t>
      </w:r>
    </w:p>
    <w:p w14:paraId="676A2253" w14:textId="77777777" w:rsidR="00EF10D8" w:rsidRPr="00AF440D" w:rsidRDefault="00EF10D8" w:rsidP="00EF10D8">
      <w:pPr>
        <w:pStyle w:val="Lijstalinea"/>
        <w:numPr>
          <w:ilvl w:val="0"/>
          <w:numId w:val="19"/>
        </w:numPr>
        <w:spacing w:afterLines="60" w:after="144" w:line="240" w:lineRule="auto"/>
        <w:contextualSpacing w:val="0"/>
        <w:rPr>
          <w:rFonts w:ascii="Arial" w:hAnsi="Arial" w:cs="Arial"/>
          <w:sz w:val="20"/>
          <w:szCs w:val="20"/>
        </w:rPr>
      </w:pPr>
      <w:r w:rsidRPr="00AF440D">
        <w:rPr>
          <w:rFonts w:ascii="Arial" w:hAnsi="Arial" w:cs="Arial"/>
          <w:sz w:val="20"/>
          <w:szCs w:val="20"/>
        </w:rPr>
        <w:t>Optional sessions within the curriculum</w:t>
      </w:r>
    </w:p>
    <w:p w14:paraId="6DB3CB54" w14:textId="77777777" w:rsidR="00EF10D8" w:rsidRPr="00AF440D" w:rsidRDefault="00EF10D8" w:rsidP="00EF10D8">
      <w:pPr>
        <w:pStyle w:val="Lijstalinea"/>
        <w:numPr>
          <w:ilvl w:val="0"/>
          <w:numId w:val="19"/>
        </w:numPr>
        <w:spacing w:afterLines="60" w:after="144" w:line="240" w:lineRule="auto"/>
        <w:contextualSpacing w:val="0"/>
        <w:rPr>
          <w:rFonts w:ascii="Arial" w:hAnsi="Arial" w:cs="Arial"/>
          <w:sz w:val="20"/>
          <w:szCs w:val="20"/>
        </w:rPr>
      </w:pPr>
      <w:r w:rsidRPr="00AF440D">
        <w:rPr>
          <w:rFonts w:ascii="Arial" w:hAnsi="Arial" w:cs="Arial"/>
          <w:sz w:val="20"/>
          <w:szCs w:val="20"/>
        </w:rPr>
        <w:t>Optional sessions outside the curriculum</w:t>
      </w:r>
    </w:p>
    <w:p w14:paraId="258C350D" w14:textId="77777777" w:rsidR="00EF10D8" w:rsidRPr="00AF440D" w:rsidRDefault="00EF10D8" w:rsidP="00EF10D8">
      <w:pPr>
        <w:spacing w:afterLines="60" w:after="144"/>
        <w:rPr>
          <w:rFonts w:ascii="Arial" w:hAnsi="Arial" w:cs="Arial"/>
          <w:sz w:val="20"/>
          <w:szCs w:val="20"/>
        </w:rPr>
      </w:pPr>
    </w:p>
    <w:p w14:paraId="0EDBFDFB"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Do you have any comments on the extent to which gender affirming and transition related care should be a mandatory part of the undergraduate medical curriculum?</w:t>
      </w:r>
    </w:p>
    <w:p w14:paraId="28AB39E3" w14:textId="77777777" w:rsidR="00EF10D8" w:rsidRPr="00AF440D" w:rsidRDefault="00EF10D8" w:rsidP="00EF10D8">
      <w:pPr>
        <w:spacing w:afterLines="60" w:after="144"/>
        <w:rPr>
          <w:rFonts w:ascii="Arial" w:hAnsi="Arial" w:cs="Arial"/>
          <w:sz w:val="20"/>
          <w:szCs w:val="20"/>
        </w:rPr>
      </w:pPr>
    </w:p>
    <w:p w14:paraId="4BD879AE"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How should gender affirming and transition related care be assessed for undergraduate medical students? [options: Do not use</w:t>
      </w:r>
      <w:r w:rsidRPr="00AF440D">
        <w:rPr>
          <w:rFonts w:ascii="Arial" w:hAnsi="Arial" w:cs="Arial"/>
          <w:sz w:val="20"/>
          <w:szCs w:val="20"/>
        </w:rPr>
        <w:tab/>
      </w:r>
      <w:proofErr w:type="spellStart"/>
      <w:r w:rsidRPr="00AF440D">
        <w:rPr>
          <w:rFonts w:ascii="Arial" w:hAnsi="Arial" w:cs="Arial"/>
          <w:sz w:val="20"/>
          <w:szCs w:val="20"/>
        </w:rPr>
        <w:t>Use</w:t>
      </w:r>
      <w:proofErr w:type="spellEnd"/>
      <w:r w:rsidRPr="00AF440D">
        <w:rPr>
          <w:rFonts w:ascii="Arial" w:hAnsi="Arial" w:cs="Arial"/>
          <w:sz w:val="20"/>
          <w:szCs w:val="20"/>
        </w:rPr>
        <w:t xml:space="preserve"> a little</w:t>
      </w:r>
      <w:r w:rsidRPr="00AF440D">
        <w:rPr>
          <w:rFonts w:ascii="Arial" w:hAnsi="Arial" w:cs="Arial"/>
          <w:sz w:val="20"/>
          <w:szCs w:val="20"/>
        </w:rPr>
        <w:tab/>
        <w:t>Use a lot]</w:t>
      </w:r>
    </w:p>
    <w:p w14:paraId="4AC0D53D"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Written exams</w:t>
      </w:r>
    </w:p>
    <w:p w14:paraId="62C15482"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Practical exams (OSCEs)</w:t>
      </w:r>
    </w:p>
    <w:p w14:paraId="2DD3E6C7"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Clinical observations (bedside)</w:t>
      </w:r>
    </w:p>
    <w:p w14:paraId="35493B2F"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Professionalism and ethics</w:t>
      </w:r>
    </w:p>
    <w:p w14:paraId="55703A36" w14:textId="77777777" w:rsidR="00EF10D8" w:rsidRPr="00AF440D" w:rsidRDefault="00EF10D8" w:rsidP="00EF10D8">
      <w:pPr>
        <w:spacing w:afterLines="60" w:after="144"/>
        <w:rPr>
          <w:rFonts w:ascii="Arial" w:hAnsi="Arial" w:cs="Arial"/>
          <w:sz w:val="20"/>
          <w:szCs w:val="20"/>
        </w:rPr>
      </w:pPr>
    </w:p>
    <w:p w14:paraId="4D76160A"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Do you have any comments on how gender affirming and transition related care should be assessed in the undergraduate medical curriculum?</w:t>
      </w:r>
    </w:p>
    <w:p w14:paraId="4638511A" w14:textId="77777777" w:rsidR="00EF10D8" w:rsidRPr="00AF440D" w:rsidRDefault="00EF10D8" w:rsidP="00EF10D8">
      <w:pPr>
        <w:spacing w:afterLines="60" w:after="144"/>
        <w:rPr>
          <w:rFonts w:ascii="Arial" w:hAnsi="Arial" w:cs="Arial"/>
          <w:sz w:val="20"/>
          <w:szCs w:val="20"/>
        </w:rPr>
      </w:pPr>
    </w:p>
    <w:p w14:paraId="798C399E"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Do you have any other comments and observations regarding TGD health in the context of the undergraduate medical curriculum?</w:t>
      </w:r>
    </w:p>
    <w:p w14:paraId="138B672D" w14:textId="77777777" w:rsidR="00EF10D8" w:rsidRPr="00AF440D" w:rsidRDefault="00EF10D8" w:rsidP="00EF10D8">
      <w:pPr>
        <w:spacing w:afterLines="60" w:after="144"/>
        <w:rPr>
          <w:rFonts w:ascii="Arial" w:hAnsi="Arial" w:cs="Arial"/>
          <w:sz w:val="20"/>
          <w:szCs w:val="20"/>
        </w:rPr>
      </w:pPr>
    </w:p>
    <w:p w14:paraId="6601D7BA"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w:t>
      </w:r>
    </w:p>
    <w:p w14:paraId="6FBDE51E" w14:textId="77777777" w:rsidR="00EF10D8" w:rsidRPr="00AF440D" w:rsidRDefault="00EF10D8" w:rsidP="00EF10D8">
      <w:pPr>
        <w:spacing w:afterLines="60" w:after="144"/>
        <w:rPr>
          <w:rFonts w:ascii="Arial" w:hAnsi="Arial" w:cs="Arial"/>
          <w:sz w:val="20"/>
          <w:szCs w:val="20"/>
        </w:rPr>
      </w:pPr>
    </w:p>
    <w:p w14:paraId="630B94FA" w14:textId="77777777" w:rsidR="00EF10D8" w:rsidRPr="00AF440D" w:rsidRDefault="00EF10D8" w:rsidP="00EF10D8">
      <w:pPr>
        <w:spacing w:afterLines="60" w:after="144"/>
        <w:rPr>
          <w:rFonts w:ascii="Arial" w:hAnsi="Arial" w:cs="Arial"/>
          <w:b/>
          <w:bCs/>
          <w:sz w:val="20"/>
          <w:szCs w:val="20"/>
        </w:rPr>
      </w:pPr>
      <w:r w:rsidRPr="00AF440D">
        <w:rPr>
          <w:rFonts w:ascii="Arial" w:hAnsi="Arial" w:cs="Arial"/>
          <w:b/>
          <w:bCs/>
          <w:sz w:val="20"/>
          <w:szCs w:val="20"/>
        </w:rPr>
        <w:t>Round 3</w:t>
      </w:r>
    </w:p>
    <w:p w14:paraId="4E5F1602"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Thank you for participating in rounds 1 and 2 of the study. This final round focuses on the social and affective dimensions of TGNC teaching for UME students.</w:t>
      </w:r>
    </w:p>
    <w:p w14:paraId="30DC26BD" w14:textId="77777777" w:rsidR="00EF10D8" w:rsidRPr="00AF440D" w:rsidRDefault="00EF10D8" w:rsidP="00EF10D8">
      <w:pPr>
        <w:spacing w:afterLines="60" w:after="144"/>
        <w:rPr>
          <w:rFonts w:ascii="Arial" w:hAnsi="Arial" w:cs="Arial"/>
          <w:sz w:val="20"/>
          <w:szCs w:val="20"/>
        </w:rPr>
      </w:pPr>
    </w:p>
    <w:p w14:paraId="08C6FC9A"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Safety</w:t>
      </w:r>
    </w:p>
    <w:p w14:paraId="54D54E8D"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lastRenderedPageBreak/>
        <w:t>Learner safety - How likely are the following to occur in teaching TGNC topics in UME? [options: Very likely - Moderately likely - Neither likely nor unlikely - Moderately unlikely - Very unlikely - No opinion/unsure]</w:t>
      </w:r>
    </w:p>
    <w:p w14:paraId="16335051" w14:textId="77777777" w:rsidR="00EF10D8" w:rsidRPr="00AF440D" w:rsidRDefault="00EF10D8" w:rsidP="00EF10D8">
      <w:pPr>
        <w:pStyle w:val="Lijstalinea"/>
        <w:numPr>
          <w:ilvl w:val="0"/>
          <w:numId w:val="20"/>
        </w:numPr>
        <w:spacing w:afterLines="60" w:after="144" w:line="240" w:lineRule="auto"/>
        <w:contextualSpacing w:val="0"/>
        <w:rPr>
          <w:rFonts w:ascii="Arial" w:hAnsi="Arial" w:cs="Arial"/>
          <w:sz w:val="20"/>
          <w:szCs w:val="20"/>
        </w:rPr>
      </w:pPr>
      <w:r w:rsidRPr="00AF440D">
        <w:rPr>
          <w:rFonts w:ascii="Arial" w:hAnsi="Arial" w:cs="Arial"/>
          <w:sz w:val="20"/>
          <w:szCs w:val="20"/>
        </w:rPr>
        <w:t>Learner embarrassment or discomfort with the topic</w:t>
      </w:r>
    </w:p>
    <w:p w14:paraId="499CE5C7" w14:textId="77777777" w:rsidR="00EF10D8" w:rsidRPr="00AF440D" w:rsidRDefault="00EF10D8" w:rsidP="00EF10D8">
      <w:pPr>
        <w:pStyle w:val="Lijstalinea"/>
        <w:numPr>
          <w:ilvl w:val="0"/>
          <w:numId w:val="20"/>
        </w:numPr>
        <w:spacing w:afterLines="60" w:after="144" w:line="240" w:lineRule="auto"/>
        <w:contextualSpacing w:val="0"/>
        <w:rPr>
          <w:rFonts w:ascii="Arial" w:hAnsi="Arial" w:cs="Arial"/>
          <w:sz w:val="20"/>
          <w:szCs w:val="20"/>
        </w:rPr>
      </w:pPr>
      <w:r w:rsidRPr="00AF440D">
        <w:rPr>
          <w:rFonts w:ascii="Arial" w:hAnsi="Arial" w:cs="Arial"/>
          <w:sz w:val="20"/>
          <w:szCs w:val="20"/>
        </w:rPr>
        <w:t>Learner embarrassment or discomfort with interacting with TGNC individuals</w:t>
      </w:r>
    </w:p>
    <w:p w14:paraId="2327DF88" w14:textId="77777777" w:rsidR="00EF10D8" w:rsidRPr="00AF440D" w:rsidRDefault="00EF10D8" w:rsidP="00EF10D8">
      <w:pPr>
        <w:pStyle w:val="Lijstalinea"/>
        <w:numPr>
          <w:ilvl w:val="0"/>
          <w:numId w:val="20"/>
        </w:numPr>
        <w:spacing w:afterLines="60" w:after="144" w:line="240" w:lineRule="auto"/>
        <w:contextualSpacing w:val="0"/>
        <w:rPr>
          <w:rFonts w:ascii="Arial" w:hAnsi="Arial" w:cs="Arial"/>
          <w:sz w:val="20"/>
          <w:szCs w:val="20"/>
        </w:rPr>
      </w:pPr>
      <w:r w:rsidRPr="00AF440D">
        <w:rPr>
          <w:rFonts w:ascii="Arial" w:hAnsi="Arial" w:cs="Arial"/>
          <w:sz w:val="20"/>
          <w:szCs w:val="20"/>
        </w:rPr>
        <w:t>Learner discomfort due to fear of saying something insensitive accidentally or using the wrong pronoun unintentionally or otherwise being mistakenly offensive</w:t>
      </w:r>
    </w:p>
    <w:p w14:paraId="4BB72EE2" w14:textId="77777777" w:rsidR="00EF10D8" w:rsidRPr="00AF440D" w:rsidRDefault="00EF10D8" w:rsidP="00EF10D8">
      <w:pPr>
        <w:pStyle w:val="Lijstalinea"/>
        <w:numPr>
          <w:ilvl w:val="0"/>
          <w:numId w:val="20"/>
        </w:numPr>
        <w:spacing w:afterLines="60" w:after="144" w:line="240" w:lineRule="auto"/>
        <w:contextualSpacing w:val="0"/>
        <w:rPr>
          <w:rFonts w:ascii="Arial" w:hAnsi="Arial" w:cs="Arial"/>
          <w:sz w:val="20"/>
          <w:szCs w:val="20"/>
        </w:rPr>
      </w:pPr>
      <w:r w:rsidRPr="00AF440D">
        <w:rPr>
          <w:rFonts w:ascii="Arial" w:hAnsi="Arial" w:cs="Arial"/>
          <w:sz w:val="20"/>
          <w:szCs w:val="20"/>
        </w:rPr>
        <w:t>Discomfort or distress of learners who are themselves TGNC or who have friends or relatives who are TGNC</w:t>
      </w:r>
    </w:p>
    <w:p w14:paraId="4D8E8312" w14:textId="77777777" w:rsidR="00EF10D8" w:rsidRPr="00AF440D" w:rsidRDefault="00EF10D8" w:rsidP="00EF10D8">
      <w:pPr>
        <w:pStyle w:val="Lijstalinea"/>
        <w:numPr>
          <w:ilvl w:val="0"/>
          <w:numId w:val="20"/>
        </w:numPr>
        <w:spacing w:afterLines="60" w:after="144" w:line="240" w:lineRule="auto"/>
        <w:contextualSpacing w:val="0"/>
        <w:rPr>
          <w:rFonts w:ascii="Arial" w:hAnsi="Arial" w:cs="Arial"/>
          <w:sz w:val="20"/>
          <w:szCs w:val="20"/>
        </w:rPr>
      </w:pPr>
      <w:r w:rsidRPr="00AF440D">
        <w:rPr>
          <w:rFonts w:ascii="Arial" w:hAnsi="Arial" w:cs="Arial"/>
          <w:sz w:val="20"/>
          <w:szCs w:val="20"/>
        </w:rPr>
        <w:t>Hostile, disrespectful, or transphobic learner behaviours</w:t>
      </w:r>
    </w:p>
    <w:p w14:paraId="6F4723C0" w14:textId="77777777" w:rsidR="00EF10D8" w:rsidRPr="00AF440D" w:rsidRDefault="00EF10D8" w:rsidP="00EF10D8">
      <w:pPr>
        <w:pStyle w:val="Lijstalinea"/>
        <w:numPr>
          <w:ilvl w:val="0"/>
          <w:numId w:val="20"/>
        </w:numPr>
        <w:spacing w:afterLines="60" w:after="144" w:line="240" w:lineRule="auto"/>
        <w:contextualSpacing w:val="0"/>
        <w:rPr>
          <w:rFonts w:ascii="Arial" w:hAnsi="Arial" w:cs="Arial"/>
          <w:sz w:val="20"/>
          <w:szCs w:val="20"/>
        </w:rPr>
      </w:pPr>
      <w:r w:rsidRPr="00AF440D">
        <w:rPr>
          <w:rFonts w:ascii="Arial" w:hAnsi="Arial" w:cs="Arial"/>
          <w:sz w:val="20"/>
          <w:szCs w:val="20"/>
        </w:rPr>
        <w:t>Lack of interest or engagement from learners</w:t>
      </w:r>
    </w:p>
    <w:p w14:paraId="17337144"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2B8D0290"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Teacher safety - How likely are the following to occur in teaching TGNC topics in UME [options: Very likely - Moderately likely - Neither likely nor unlikely - Moderately unlikely - Very unlikely - No opinion/unsure]</w:t>
      </w:r>
    </w:p>
    <w:p w14:paraId="5BA82561" w14:textId="77777777" w:rsidR="00EF10D8" w:rsidRPr="00AF440D" w:rsidRDefault="00EF10D8" w:rsidP="00EF10D8">
      <w:pPr>
        <w:pStyle w:val="Lijstalinea"/>
        <w:numPr>
          <w:ilvl w:val="0"/>
          <w:numId w:val="21"/>
        </w:numPr>
        <w:spacing w:afterLines="60" w:after="144" w:line="240" w:lineRule="auto"/>
        <w:contextualSpacing w:val="0"/>
        <w:rPr>
          <w:rFonts w:ascii="Arial" w:hAnsi="Arial" w:cs="Arial"/>
          <w:sz w:val="20"/>
          <w:szCs w:val="20"/>
        </w:rPr>
      </w:pPr>
      <w:r w:rsidRPr="00AF440D">
        <w:rPr>
          <w:rFonts w:ascii="Arial" w:hAnsi="Arial" w:cs="Arial"/>
          <w:sz w:val="20"/>
          <w:szCs w:val="20"/>
        </w:rPr>
        <w:t>Teacher embarrassment or discomfort with the topic</w:t>
      </w:r>
    </w:p>
    <w:p w14:paraId="5CAED6A0" w14:textId="77777777" w:rsidR="00EF10D8" w:rsidRPr="00AF440D" w:rsidRDefault="00EF10D8" w:rsidP="00EF10D8">
      <w:pPr>
        <w:pStyle w:val="Lijstalinea"/>
        <w:numPr>
          <w:ilvl w:val="0"/>
          <w:numId w:val="21"/>
        </w:numPr>
        <w:spacing w:afterLines="60" w:after="144" w:line="240" w:lineRule="auto"/>
        <w:contextualSpacing w:val="0"/>
        <w:rPr>
          <w:rFonts w:ascii="Arial" w:hAnsi="Arial" w:cs="Arial"/>
          <w:sz w:val="20"/>
          <w:szCs w:val="20"/>
        </w:rPr>
      </w:pPr>
      <w:r w:rsidRPr="00AF440D">
        <w:rPr>
          <w:rFonts w:ascii="Arial" w:hAnsi="Arial" w:cs="Arial"/>
          <w:sz w:val="20"/>
          <w:szCs w:val="20"/>
        </w:rPr>
        <w:t>Teacher embarrassment or discomfort with interacting with TGNC individuals</w:t>
      </w:r>
    </w:p>
    <w:p w14:paraId="3A6C908B" w14:textId="77777777" w:rsidR="00EF10D8" w:rsidRPr="00AF440D" w:rsidRDefault="00EF10D8" w:rsidP="00EF10D8">
      <w:pPr>
        <w:pStyle w:val="Lijstalinea"/>
        <w:numPr>
          <w:ilvl w:val="0"/>
          <w:numId w:val="21"/>
        </w:numPr>
        <w:spacing w:afterLines="60" w:after="144" w:line="240" w:lineRule="auto"/>
        <w:contextualSpacing w:val="0"/>
        <w:rPr>
          <w:rFonts w:ascii="Arial" w:hAnsi="Arial" w:cs="Arial"/>
          <w:sz w:val="20"/>
          <w:szCs w:val="20"/>
        </w:rPr>
      </w:pPr>
      <w:r w:rsidRPr="00AF440D">
        <w:rPr>
          <w:rFonts w:ascii="Arial" w:hAnsi="Arial" w:cs="Arial"/>
          <w:sz w:val="20"/>
          <w:szCs w:val="20"/>
        </w:rPr>
        <w:t>Teacher fear of saying something insensitive accidentally or using the wrong pronoun unintentionally or being mistakenly offensive</w:t>
      </w:r>
    </w:p>
    <w:p w14:paraId="71F1E4DB" w14:textId="77777777" w:rsidR="00EF10D8" w:rsidRPr="00AF440D" w:rsidRDefault="00EF10D8" w:rsidP="00EF10D8">
      <w:pPr>
        <w:pStyle w:val="Lijstalinea"/>
        <w:numPr>
          <w:ilvl w:val="0"/>
          <w:numId w:val="21"/>
        </w:numPr>
        <w:spacing w:afterLines="60" w:after="144" w:line="240" w:lineRule="auto"/>
        <w:contextualSpacing w:val="0"/>
        <w:rPr>
          <w:rFonts w:ascii="Arial" w:hAnsi="Arial" w:cs="Arial"/>
          <w:sz w:val="20"/>
          <w:szCs w:val="20"/>
        </w:rPr>
      </w:pPr>
      <w:r w:rsidRPr="00AF440D">
        <w:rPr>
          <w:rFonts w:ascii="Arial" w:hAnsi="Arial" w:cs="Arial"/>
          <w:sz w:val="20"/>
          <w:szCs w:val="20"/>
        </w:rPr>
        <w:t>Hostile, disrespectful, or transphobic teacher behaviour</w:t>
      </w:r>
    </w:p>
    <w:p w14:paraId="67E5A6E2" w14:textId="77777777" w:rsidR="00EF10D8" w:rsidRPr="00AF440D" w:rsidRDefault="00EF10D8" w:rsidP="00EF10D8">
      <w:pPr>
        <w:pStyle w:val="Lijstalinea"/>
        <w:numPr>
          <w:ilvl w:val="0"/>
          <w:numId w:val="21"/>
        </w:numPr>
        <w:spacing w:afterLines="60" w:after="144" w:line="240" w:lineRule="auto"/>
        <w:contextualSpacing w:val="0"/>
        <w:rPr>
          <w:rFonts w:ascii="Arial" w:hAnsi="Arial" w:cs="Arial"/>
          <w:sz w:val="20"/>
          <w:szCs w:val="20"/>
        </w:rPr>
      </w:pPr>
      <w:r w:rsidRPr="00AF440D">
        <w:rPr>
          <w:rFonts w:ascii="Arial" w:hAnsi="Arial" w:cs="Arial"/>
          <w:sz w:val="20"/>
          <w:szCs w:val="20"/>
        </w:rPr>
        <w:t>Lack of interest or engagement from teachers</w:t>
      </w:r>
    </w:p>
    <w:p w14:paraId="704019B8"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66279E14"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TGNC community member safety - How likely are the following to occur in teaching TGNC topics in UME? [options: Very likely - Moderately likely - Neither likely nor unlikely - Moderately unlikely - Very unlikely - No opinion/unsure]</w:t>
      </w:r>
    </w:p>
    <w:p w14:paraId="18E85762" w14:textId="77777777" w:rsidR="00EF10D8" w:rsidRPr="00AF440D" w:rsidRDefault="00EF10D8" w:rsidP="00EF10D8">
      <w:pPr>
        <w:pStyle w:val="Lijstalinea"/>
        <w:numPr>
          <w:ilvl w:val="0"/>
          <w:numId w:val="22"/>
        </w:numPr>
        <w:spacing w:afterLines="60" w:after="144" w:line="240" w:lineRule="auto"/>
        <w:contextualSpacing w:val="0"/>
        <w:rPr>
          <w:rFonts w:ascii="Arial" w:hAnsi="Arial" w:cs="Arial"/>
          <w:sz w:val="20"/>
          <w:szCs w:val="20"/>
        </w:rPr>
      </w:pPr>
      <w:r w:rsidRPr="00AF440D">
        <w:rPr>
          <w:rFonts w:ascii="Arial" w:hAnsi="Arial" w:cs="Arial"/>
          <w:sz w:val="20"/>
          <w:szCs w:val="20"/>
        </w:rPr>
        <w:t>TGNC community member embarrassment or discomfort</w:t>
      </w:r>
    </w:p>
    <w:p w14:paraId="246D1695" w14:textId="77777777" w:rsidR="00EF10D8" w:rsidRPr="00AF440D" w:rsidRDefault="00EF10D8" w:rsidP="00EF10D8">
      <w:pPr>
        <w:pStyle w:val="Lijstalinea"/>
        <w:numPr>
          <w:ilvl w:val="0"/>
          <w:numId w:val="22"/>
        </w:numPr>
        <w:spacing w:afterLines="60" w:after="144" w:line="240" w:lineRule="auto"/>
        <w:contextualSpacing w:val="0"/>
        <w:rPr>
          <w:rFonts w:ascii="Arial" w:hAnsi="Arial" w:cs="Arial"/>
          <w:sz w:val="20"/>
          <w:szCs w:val="20"/>
        </w:rPr>
      </w:pPr>
      <w:r w:rsidRPr="00AF440D">
        <w:rPr>
          <w:rFonts w:ascii="Arial" w:hAnsi="Arial" w:cs="Arial"/>
          <w:sz w:val="20"/>
          <w:szCs w:val="20"/>
        </w:rPr>
        <w:t>Hostile or disrespectful TGNC community member behaviour</w:t>
      </w:r>
    </w:p>
    <w:p w14:paraId="08080CA7" w14:textId="77777777" w:rsidR="00EF10D8" w:rsidRPr="00AF440D" w:rsidRDefault="00EF10D8" w:rsidP="00EF10D8">
      <w:pPr>
        <w:pStyle w:val="Lijstalinea"/>
        <w:numPr>
          <w:ilvl w:val="0"/>
          <w:numId w:val="22"/>
        </w:numPr>
        <w:spacing w:afterLines="60" w:after="144" w:line="240" w:lineRule="auto"/>
        <w:contextualSpacing w:val="0"/>
        <w:rPr>
          <w:rFonts w:ascii="Arial" w:hAnsi="Arial" w:cs="Arial"/>
          <w:sz w:val="20"/>
          <w:szCs w:val="20"/>
        </w:rPr>
      </w:pPr>
      <w:r w:rsidRPr="00AF440D">
        <w:rPr>
          <w:rFonts w:ascii="Arial" w:hAnsi="Arial" w:cs="Arial"/>
          <w:sz w:val="20"/>
          <w:szCs w:val="20"/>
        </w:rPr>
        <w:t>Unsafe environment for TGNC community member</w:t>
      </w:r>
    </w:p>
    <w:p w14:paraId="37DA10D3"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43C4444C"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What other safety concerns associated with TGNC teaching at the UME level are there? If you have had firsthand experience of safety matters in TGNC teaching please note them here.</w:t>
      </w:r>
    </w:p>
    <w:p w14:paraId="5B7CE2B0" w14:textId="77777777" w:rsidR="00EF10D8" w:rsidRPr="00AF440D" w:rsidRDefault="00EF10D8" w:rsidP="00EF10D8">
      <w:pPr>
        <w:spacing w:afterLines="60" w:after="144"/>
        <w:rPr>
          <w:rFonts w:ascii="Arial" w:hAnsi="Arial" w:cs="Arial"/>
          <w:sz w:val="20"/>
          <w:szCs w:val="20"/>
        </w:rPr>
      </w:pPr>
    </w:p>
    <w:p w14:paraId="611153ED"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Environment</w:t>
      </w:r>
    </w:p>
    <w:p w14:paraId="70CD8AB4"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the importance of the following steps in establishing a safe environment for teaching TGNC topics in UME: [options: Critical importance</w:t>
      </w:r>
      <w:r w:rsidRPr="00AF440D">
        <w:rPr>
          <w:rFonts w:ascii="Arial" w:hAnsi="Arial" w:cs="Arial"/>
          <w:sz w:val="20"/>
          <w:szCs w:val="20"/>
        </w:rPr>
        <w:tab/>
        <w:t>High importance</w:t>
      </w:r>
      <w:r w:rsidRPr="00AF440D">
        <w:rPr>
          <w:rFonts w:ascii="Arial" w:hAnsi="Arial" w:cs="Arial"/>
          <w:sz w:val="20"/>
          <w:szCs w:val="20"/>
        </w:rPr>
        <w:tab/>
        <w:t>Moderate importance</w:t>
      </w:r>
      <w:r w:rsidRPr="00AF440D">
        <w:rPr>
          <w:rFonts w:ascii="Arial" w:hAnsi="Arial" w:cs="Arial"/>
          <w:sz w:val="20"/>
          <w:szCs w:val="20"/>
        </w:rPr>
        <w:tab/>
        <w:t>Low importance</w:t>
      </w:r>
      <w:r w:rsidRPr="00AF440D">
        <w:rPr>
          <w:rFonts w:ascii="Arial" w:hAnsi="Arial" w:cs="Arial"/>
          <w:sz w:val="20"/>
          <w:szCs w:val="20"/>
        </w:rPr>
        <w:tab/>
        <w:t>No importance</w:t>
      </w:r>
      <w:r w:rsidRPr="00AF440D">
        <w:rPr>
          <w:rFonts w:ascii="Arial" w:hAnsi="Arial" w:cs="Arial"/>
          <w:sz w:val="20"/>
          <w:szCs w:val="20"/>
        </w:rPr>
        <w:tab/>
        <w:t>No opinion/unsure]</w:t>
      </w:r>
    </w:p>
    <w:p w14:paraId="184F12E7" w14:textId="77777777" w:rsidR="00EF10D8" w:rsidRPr="00AF440D" w:rsidRDefault="00EF10D8" w:rsidP="00EF10D8">
      <w:pPr>
        <w:pStyle w:val="Lijstalinea"/>
        <w:numPr>
          <w:ilvl w:val="0"/>
          <w:numId w:val="23"/>
        </w:numPr>
        <w:spacing w:afterLines="60" w:after="144" w:line="240" w:lineRule="auto"/>
        <w:contextualSpacing w:val="0"/>
        <w:rPr>
          <w:rFonts w:ascii="Arial" w:hAnsi="Arial" w:cs="Arial"/>
          <w:sz w:val="20"/>
          <w:szCs w:val="20"/>
        </w:rPr>
      </w:pPr>
      <w:r w:rsidRPr="00AF440D">
        <w:rPr>
          <w:rFonts w:ascii="Arial" w:hAnsi="Arial" w:cs="Arial"/>
          <w:sz w:val="20"/>
          <w:szCs w:val="20"/>
        </w:rPr>
        <w:t>Briefing and preparation for learners – what to expect, rules of engagement</w:t>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2C94F6F8" w14:textId="77777777" w:rsidR="00EF10D8" w:rsidRPr="00AF440D" w:rsidRDefault="00EF10D8" w:rsidP="00EF10D8">
      <w:pPr>
        <w:pStyle w:val="Lijstalinea"/>
        <w:numPr>
          <w:ilvl w:val="0"/>
          <w:numId w:val="23"/>
        </w:numPr>
        <w:spacing w:afterLines="60" w:after="144" w:line="240" w:lineRule="auto"/>
        <w:contextualSpacing w:val="0"/>
        <w:rPr>
          <w:rFonts w:ascii="Arial" w:hAnsi="Arial" w:cs="Arial"/>
          <w:sz w:val="20"/>
          <w:szCs w:val="20"/>
        </w:rPr>
      </w:pPr>
      <w:r w:rsidRPr="00AF440D">
        <w:rPr>
          <w:rFonts w:ascii="Arial" w:hAnsi="Arial" w:cs="Arial"/>
          <w:sz w:val="20"/>
          <w:szCs w:val="20"/>
        </w:rPr>
        <w:t>Briefing and preparation for teachers – what to expect, rules of engagement</w:t>
      </w:r>
    </w:p>
    <w:p w14:paraId="69D353C5" w14:textId="77777777" w:rsidR="00EF10D8" w:rsidRPr="00AF440D" w:rsidRDefault="00EF10D8" w:rsidP="00EF10D8">
      <w:pPr>
        <w:pStyle w:val="Lijstalinea"/>
        <w:numPr>
          <w:ilvl w:val="0"/>
          <w:numId w:val="23"/>
        </w:numPr>
        <w:spacing w:afterLines="60" w:after="144" w:line="240" w:lineRule="auto"/>
        <w:contextualSpacing w:val="0"/>
        <w:rPr>
          <w:rFonts w:ascii="Arial" w:hAnsi="Arial" w:cs="Arial"/>
          <w:sz w:val="20"/>
          <w:szCs w:val="20"/>
        </w:rPr>
      </w:pPr>
      <w:r w:rsidRPr="00AF440D">
        <w:rPr>
          <w:rFonts w:ascii="Arial" w:hAnsi="Arial" w:cs="Arial"/>
          <w:sz w:val="20"/>
          <w:szCs w:val="20"/>
        </w:rPr>
        <w:t>Briefing and preparation for community members – what to expect, rules of engagement</w:t>
      </w:r>
    </w:p>
    <w:p w14:paraId="6B4197F0" w14:textId="77777777" w:rsidR="00EF10D8" w:rsidRPr="00AF440D" w:rsidRDefault="00EF10D8" w:rsidP="00EF10D8">
      <w:pPr>
        <w:pStyle w:val="Lijstalinea"/>
        <w:numPr>
          <w:ilvl w:val="0"/>
          <w:numId w:val="23"/>
        </w:numPr>
        <w:spacing w:afterLines="60" w:after="144" w:line="240" w:lineRule="auto"/>
        <w:contextualSpacing w:val="0"/>
        <w:rPr>
          <w:rFonts w:ascii="Arial" w:hAnsi="Arial" w:cs="Arial"/>
          <w:sz w:val="20"/>
          <w:szCs w:val="20"/>
        </w:rPr>
      </w:pPr>
      <w:r w:rsidRPr="00AF440D">
        <w:rPr>
          <w:rFonts w:ascii="Arial" w:hAnsi="Arial" w:cs="Arial"/>
          <w:sz w:val="20"/>
          <w:szCs w:val="20"/>
        </w:rPr>
        <w:lastRenderedPageBreak/>
        <w:t>Gender neutral bathroom availability</w:t>
      </w:r>
    </w:p>
    <w:p w14:paraId="4E6EB731" w14:textId="77777777" w:rsidR="00EF10D8" w:rsidRPr="00AF440D" w:rsidRDefault="00EF10D8" w:rsidP="00EF10D8">
      <w:pPr>
        <w:pStyle w:val="Lijstalinea"/>
        <w:numPr>
          <w:ilvl w:val="0"/>
          <w:numId w:val="23"/>
        </w:numPr>
        <w:spacing w:afterLines="60" w:after="144" w:line="240" w:lineRule="auto"/>
        <w:contextualSpacing w:val="0"/>
        <w:rPr>
          <w:rFonts w:ascii="Arial" w:hAnsi="Arial" w:cs="Arial"/>
          <w:sz w:val="20"/>
          <w:szCs w:val="20"/>
        </w:rPr>
      </w:pPr>
      <w:r w:rsidRPr="00AF440D">
        <w:rPr>
          <w:rFonts w:ascii="Arial" w:hAnsi="Arial" w:cs="Arial"/>
          <w:sz w:val="20"/>
          <w:szCs w:val="20"/>
        </w:rPr>
        <w:t>Statement from UME that students should feel safe to practice TGD language and interviewing techniques and that feedback will be free of judgement or shaming.</w:t>
      </w:r>
    </w:p>
    <w:p w14:paraId="0876A6F3" w14:textId="77777777" w:rsidR="00EF10D8" w:rsidRPr="00AF440D" w:rsidRDefault="00EF10D8" w:rsidP="00EF10D8">
      <w:pPr>
        <w:pStyle w:val="Lijstalinea"/>
        <w:numPr>
          <w:ilvl w:val="0"/>
          <w:numId w:val="23"/>
        </w:numPr>
        <w:spacing w:afterLines="60" w:after="144" w:line="240" w:lineRule="auto"/>
        <w:contextualSpacing w:val="0"/>
        <w:rPr>
          <w:rFonts w:ascii="Arial" w:hAnsi="Arial" w:cs="Arial"/>
          <w:sz w:val="20"/>
          <w:szCs w:val="20"/>
        </w:rPr>
      </w:pPr>
      <w:r w:rsidRPr="00AF440D">
        <w:rPr>
          <w:rFonts w:ascii="Arial" w:hAnsi="Arial" w:cs="Arial"/>
          <w:sz w:val="20"/>
          <w:szCs w:val="20"/>
        </w:rPr>
        <w:t>Allow students who don’t want to be there to opt out of the session</w:t>
      </w:r>
    </w:p>
    <w:p w14:paraId="4AEF6B14" w14:textId="77777777" w:rsidR="00EF10D8" w:rsidRPr="00AF440D" w:rsidRDefault="00EF10D8" w:rsidP="00EF10D8">
      <w:pPr>
        <w:pStyle w:val="Lijstalinea"/>
        <w:numPr>
          <w:ilvl w:val="0"/>
          <w:numId w:val="23"/>
        </w:numPr>
        <w:spacing w:afterLines="60" w:after="144" w:line="240" w:lineRule="auto"/>
        <w:contextualSpacing w:val="0"/>
        <w:rPr>
          <w:rFonts w:ascii="Arial" w:hAnsi="Arial" w:cs="Arial"/>
          <w:sz w:val="20"/>
          <w:szCs w:val="20"/>
        </w:rPr>
      </w:pPr>
      <w:r w:rsidRPr="00AF440D">
        <w:rPr>
          <w:rFonts w:ascii="Arial" w:hAnsi="Arial" w:cs="Arial"/>
          <w:sz w:val="20"/>
          <w:szCs w:val="20"/>
        </w:rPr>
        <w:t>Allow physician instructors to opt out of teaching a session</w:t>
      </w:r>
    </w:p>
    <w:p w14:paraId="5DEBBDF3" w14:textId="77777777" w:rsidR="00EF10D8" w:rsidRPr="00AF440D" w:rsidRDefault="00EF10D8" w:rsidP="00EF10D8">
      <w:pPr>
        <w:pStyle w:val="Lijstalinea"/>
        <w:numPr>
          <w:ilvl w:val="0"/>
          <w:numId w:val="23"/>
        </w:numPr>
        <w:spacing w:afterLines="60" w:after="144" w:line="240" w:lineRule="auto"/>
        <w:contextualSpacing w:val="0"/>
        <w:rPr>
          <w:rFonts w:ascii="Arial" w:hAnsi="Arial" w:cs="Arial"/>
          <w:sz w:val="20"/>
          <w:szCs w:val="20"/>
        </w:rPr>
      </w:pPr>
      <w:r w:rsidRPr="00AF440D">
        <w:rPr>
          <w:rFonts w:ascii="Arial" w:hAnsi="Arial" w:cs="Arial"/>
          <w:sz w:val="20"/>
          <w:szCs w:val="20"/>
        </w:rPr>
        <w:t>Careful selection of instructors for the sessions</w:t>
      </w:r>
    </w:p>
    <w:p w14:paraId="37E2EB65" w14:textId="77777777" w:rsidR="00EF10D8" w:rsidRPr="00AF440D" w:rsidRDefault="00EF10D8" w:rsidP="00EF10D8">
      <w:pPr>
        <w:pStyle w:val="Lijstalinea"/>
        <w:numPr>
          <w:ilvl w:val="0"/>
          <w:numId w:val="23"/>
        </w:numPr>
        <w:spacing w:afterLines="60" w:after="144" w:line="240" w:lineRule="auto"/>
        <w:contextualSpacing w:val="0"/>
        <w:rPr>
          <w:rFonts w:ascii="Arial" w:hAnsi="Arial" w:cs="Arial"/>
          <w:sz w:val="20"/>
          <w:szCs w:val="20"/>
        </w:rPr>
      </w:pPr>
      <w:r w:rsidRPr="00AF440D">
        <w:rPr>
          <w:rFonts w:ascii="Arial" w:hAnsi="Arial" w:cs="Arial"/>
          <w:sz w:val="20"/>
          <w:szCs w:val="20"/>
        </w:rPr>
        <w:t>Pair TGNC identified instructor with physician instructor</w:t>
      </w:r>
    </w:p>
    <w:p w14:paraId="176D4C8C" w14:textId="77777777" w:rsidR="00EF10D8" w:rsidRPr="00AF440D" w:rsidRDefault="00EF10D8" w:rsidP="00EF10D8">
      <w:pPr>
        <w:pStyle w:val="Lijstalinea"/>
        <w:numPr>
          <w:ilvl w:val="0"/>
          <w:numId w:val="23"/>
        </w:numPr>
        <w:spacing w:afterLines="60" w:after="144" w:line="240" w:lineRule="auto"/>
        <w:contextualSpacing w:val="0"/>
        <w:rPr>
          <w:rFonts w:ascii="Arial" w:hAnsi="Arial" w:cs="Arial"/>
          <w:sz w:val="20"/>
          <w:szCs w:val="20"/>
        </w:rPr>
      </w:pPr>
      <w:r w:rsidRPr="00AF440D">
        <w:rPr>
          <w:rFonts w:ascii="Arial" w:hAnsi="Arial" w:cs="Arial"/>
          <w:sz w:val="20"/>
          <w:szCs w:val="20"/>
        </w:rPr>
        <w:t>Debriefing TGNC teaching sessions</w:t>
      </w:r>
    </w:p>
    <w:p w14:paraId="571E5BF1"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42BA1886"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What other steps should be taken in establishing a safe environment for teaching TGNC topics in UME?</w:t>
      </w:r>
    </w:p>
    <w:p w14:paraId="784B9CB3" w14:textId="77777777" w:rsidR="00EF10D8" w:rsidRPr="00AF440D" w:rsidRDefault="00EF10D8" w:rsidP="00EF10D8">
      <w:pPr>
        <w:spacing w:afterLines="60" w:after="144"/>
        <w:rPr>
          <w:rFonts w:ascii="Arial" w:hAnsi="Arial" w:cs="Arial"/>
          <w:sz w:val="20"/>
          <w:szCs w:val="20"/>
        </w:rPr>
      </w:pPr>
    </w:p>
    <w:p w14:paraId="07C77EEF"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Participation</w:t>
      </w:r>
    </w:p>
    <w:p w14:paraId="0B5D4CB4"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the acceptability of the following potential reasons a medical student may feel reluctant to participate in a TGNC teaching session: [options: Completely acceptable</w:t>
      </w:r>
      <w:r w:rsidRPr="00AF440D">
        <w:rPr>
          <w:rFonts w:ascii="Arial" w:hAnsi="Arial" w:cs="Arial"/>
          <w:sz w:val="20"/>
          <w:szCs w:val="20"/>
        </w:rPr>
        <w:tab/>
        <w:t>Moderately acceptable</w:t>
      </w:r>
      <w:r w:rsidRPr="00AF440D">
        <w:rPr>
          <w:rFonts w:ascii="Arial" w:hAnsi="Arial" w:cs="Arial"/>
          <w:sz w:val="20"/>
          <w:szCs w:val="20"/>
        </w:rPr>
        <w:tab/>
        <w:t>Neither acceptable or unacceptable</w:t>
      </w:r>
      <w:r w:rsidRPr="00AF440D">
        <w:rPr>
          <w:rFonts w:ascii="Arial" w:hAnsi="Arial" w:cs="Arial"/>
          <w:sz w:val="20"/>
          <w:szCs w:val="20"/>
        </w:rPr>
        <w:tab/>
        <w:t>Moderately unacceptable</w:t>
      </w:r>
      <w:r w:rsidRPr="00AF440D">
        <w:rPr>
          <w:rFonts w:ascii="Arial" w:hAnsi="Arial" w:cs="Arial"/>
          <w:sz w:val="20"/>
          <w:szCs w:val="20"/>
        </w:rPr>
        <w:tab/>
        <w:t>Completely unacceptable</w:t>
      </w:r>
      <w:r w:rsidRPr="00AF440D">
        <w:rPr>
          <w:rFonts w:ascii="Arial" w:hAnsi="Arial" w:cs="Arial"/>
          <w:sz w:val="20"/>
          <w:szCs w:val="20"/>
        </w:rPr>
        <w:tab/>
        <w:t>No opinion/unsure]</w:t>
      </w:r>
    </w:p>
    <w:p w14:paraId="15543982" w14:textId="77777777" w:rsidR="00EF10D8" w:rsidRPr="00AF440D" w:rsidRDefault="00EF10D8" w:rsidP="00EF10D8">
      <w:pPr>
        <w:pStyle w:val="Lijstalinea"/>
        <w:numPr>
          <w:ilvl w:val="0"/>
          <w:numId w:val="24"/>
        </w:numPr>
        <w:spacing w:afterLines="60" w:after="144" w:line="240" w:lineRule="auto"/>
        <w:contextualSpacing w:val="0"/>
        <w:rPr>
          <w:rFonts w:ascii="Arial" w:hAnsi="Arial" w:cs="Arial"/>
          <w:sz w:val="20"/>
          <w:szCs w:val="20"/>
        </w:rPr>
      </w:pPr>
      <w:r w:rsidRPr="00AF440D">
        <w:rPr>
          <w:rFonts w:ascii="Arial" w:hAnsi="Arial" w:cs="Arial"/>
          <w:sz w:val="20"/>
          <w:szCs w:val="20"/>
        </w:rPr>
        <w:t>Declaration of personal discomfort with TGNC persons or issues</w:t>
      </w:r>
    </w:p>
    <w:p w14:paraId="5B2EF8D5" w14:textId="77777777" w:rsidR="00EF10D8" w:rsidRPr="00AF440D" w:rsidRDefault="00EF10D8" w:rsidP="00EF10D8">
      <w:pPr>
        <w:pStyle w:val="Lijstalinea"/>
        <w:numPr>
          <w:ilvl w:val="0"/>
          <w:numId w:val="24"/>
        </w:numPr>
        <w:spacing w:afterLines="60" w:after="144" w:line="240" w:lineRule="auto"/>
        <w:contextualSpacing w:val="0"/>
        <w:rPr>
          <w:rFonts w:ascii="Arial" w:hAnsi="Arial" w:cs="Arial"/>
          <w:sz w:val="20"/>
          <w:szCs w:val="20"/>
        </w:rPr>
      </w:pPr>
      <w:r w:rsidRPr="00AF440D">
        <w:rPr>
          <w:rFonts w:ascii="Arial" w:hAnsi="Arial" w:cs="Arial"/>
          <w:sz w:val="20"/>
          <w:szCs w:val="20"/>
        </w:rPr>
        <w:t>Religious or cultural concerns with TGNC individuals or care</w:t>
      </w:r>
    </w:p>
    <w:p w14:paraId="340CDD98" w14:textId="77777777" w:rsidR="00EF10D8" w:rsidRPr="00AF440D" w:rsidRDefault="00EF10D8" w:rsidP="00EF10D8">
      <w:pPr>
        <w:pStyle w:val="Lijstalinea"/>
        <w:numPr>
          <w:ilvl w:val="0"/>
          <w:numId w:val="24"/>
        </w:numPr>
        <w:spacing w:afterLines="60" w:after="144" w:line="240" w:lineRule="auto"/>
        <w:contextualSpacing w:val="0"/>
        <w:rPr>
          <w:rFonts w:ascii="Arial" w:hAnsi="Arial" w:cs="Arial"/>
          <w:sz w:val="20"/>
          <w:szCs w:val="20"/>
        </w:rPr>
      </w:pPr>
      <w:r w:rsidRPr="00AF440D">
        <w:rPr>
          <w:rFonts w:ascii="Arial" w:hAnsi="Arial" w:cs="Arial"/>
          <w:sz w:val="20"/>
          <w:szCs w:val="20"/>
        </w:rPr>
        <w:t>Declaration of personal belief that transgender identities are invalid</w:t>
      </w:r>
    </w:p>
    <w:p w14:paraId="6C9DDE5E" w14:textId="77777777" w:rsidR="00EF10D8" w:rsidRPr="00AF440D" w:rsidRDefault="00EF10D8" w:rsidP="00EF10D8">
      <w:pPr>
        <w:pStyle w:val="Lijstalinea"/>
        <w:numPr>
          <w:ilvl w:val="0"/>
          <w:numId w:val="24"/>
        </w:numPr>
        <w:spacing w:afterLines="60" w:after="144" w:line="240" w:lineRule="auto"/>
        <w:contextualSpacing w:val="0"/>
        <w:rPr>
          <w:rFonts w:ascii="Arial" w:hAnsi="Arial" w:cs="Arial"/>
          <w:sz w:val="20"/>
          <w:szCs w:val="20"/>
        </w:rPr>
      </w:pPr>
      <w:r w:rsidRPr="00AF440D">
        <w:rPr>
          <w:rFonts w:ascii="Arial" w:hAnsi="Arial" w:cs="Arial"/>
          <w:sz w:val="20"/>
          <w:szCs w:val="20"/>
        </w:rPr>
        <w:t>Declaration of personal belief that gender is strictly binary</w:t>
      </w:r>
    </w:p>
    <w:p w14:paraId="7F68A74B" w14:textId="77777777" w:rsidR="00EF10D8" w:rsidRPr="00AF440D" w:rsidRDefault="00EF10D8" w:rsidP="00EF10D8">
      <w:pPr>
        <w:pStyle w:val="Lijstalinea"/>
        <w:numPr>
          <w:ilvl w:val="0"/>
          <w:numId w:val="24"/>
        </w:numPr>
        <w:spacing w:afterLines="60" w:after="144" w:line="240" w:lineRule="auto"/>
        <w:contextualSpacing w:val="0"/>
        <w:rPr>
          <w:rFonts w:ascii="Arial" w:hAnsi="Arial" w:cs="Arial"/>
          <w:sz w:val="20"/>
          <w:szCs w:val="20"/>
        </w:rPr>
      </w:pPr>
      <w:r w:rsidRPr="00AF440D">
        <w:rPr>
          <w:rFonts w:ascii="Arial" w:hAnsi="Arial" w:cs="Arial"/>
          <w:sz w:val="20"/>
          <w:szCs w:val="20"/>
        </w:rPr>
        <w:t>Student who is TGNC and has concerns regarding their own safety or experience</w:t>
      </w:r>
    </w:p>
    <w:p w14:paraId="6CE6DEDB" w14:textId="77777777" w:rsidR="00EF10D8" w:rsidRPr="00AF440D" w:rsidRDefault="00EF10D8" w:rsidP="00EF10D8">
      <w:pPr>
        <w:pStyle w:val="Lijstalinea"/>
        <w:numPr>
          <w:ilvl w:val="0"/>
          <w:numId w:val="24"/>
        </w:numPr>
        <w:spacing w:afterLines="60" w:after="144" w:line="240" w:lineRule="auto"/>
        <w:contextualSpacing w:val="0"/>
        <w:rPr>
          <w:rFonts w:ascii="Arial" w:hAnsi="Arial" w:cs="Arial"/>
          <w:sz w:val="20"/>
          <w:szCs w:val="20"/>
        </w:rPr>
      </w:pPr>
      <w:r w:rsidRPr="00AF440D">
        <w:rPr>
          <w:rFonts w:ascii="Arial" w:hAnsi="Arial" w:cs="Arial"/>
          <w:sz w:val="20"/>
          <w:szCs w:val="20"/>
        </w:rPr>
        <w:t>Student states that they will never practice medicine with gender diverse or transgender people</w:t>
      </w:r>
    </w:p>
    <w:p w14:paraId="70006613"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5A58E41B"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Are there any acceptable reasons for students to opt out of TGNC teaching?</w:t>
      </w:r>
    </w:p>
    <w:p w14:paraId="1F33CDBB" w14:textId="77777777" w:rsidR="00EF10D8" w:rsidRPr="00AF440D" w:rsidRDefault="00EF10D8" w:rsidP="00EF10D8">
      <w:pPr>
        <w:spacing w:afterLines="60" w:after="144"/>
        <w:rPr>
          <w:rFonts w:ascii="Arial" w:hAnsi="Arial" w:cs="Arial"/>
          <w:sz w:val="20"/>
          <w:szCs w:val="20"/>
        </w:rPr>
      </w:pPr>
    </w:p>
    <w:p w14:paraId="21684452"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If a medical student is identified by UME as unwilling to engage with TGNC care, to what extent should the UME be responsible for challenging that belief?</w:t>
      </w:r>
    </w:p>
    <w:p w14:paraId="3811B8E9" w14:textId="77777777" w:rsidR="00EF10D8" w:rsidRPr="00AF440D" w:rsidRDefault="00EF10D8" w:rsidP="00EF10D8">
      <w:pPr>
        <w:pStyle w:val="Lijstalinea"/>
        <w:numPr>
          <w:ilvl w:val="0"/>
          <w:numId w:val="25"/>
        </w:numPr>
        <w:spacing w:afterLines="60" w:after="144" w:line="240" w:lineRule="auto"/>
        <w:contextualSpacing w:val="0"/>
        <w:rPr>
          <w:rFonts w:ascii="Arial" w:hAnsi="Arial" w:cs="Arial"/>
          <w:sz w:val="20"/>
          <w:szCs w:val="20"/>
        </w:rPr>
      </w:pPr>
      <w:r w:rsidRPr="00AF440D">
        <w:rPr>
          <w:rFonts w:ascii="Arial" w:hAnsi="Arial" w:cs="Arial"/>
          <w:sz w:val="20"/>
          <w:szCs w:val="20"/>
        </w:rPr>
        <w:t>Exclusive responsibility</w:t>
      </w:r>
    </w:p>
    <w:p w14:paraId="1AEF8230" w14:textId="77777777" w:rsidR="00EF10D8" w:rsidRPr="00AF440D" w:rsidRDefault="00EF10D8" w:rsidP="00EF10D8">
      <w:pPr>
        <w:pStyle w:val="Lijstalinea"/>
        <w:numPr>
          <w:ilvl w:val="0"/>
          <w:numId w:val="25"/>
        </w:numPr>
        <w:spacing w:afterLines="60" w:after="144" w:line="240" w:lineRule="auto"/>
        <w:contextualSpacing w:val="0"/>
        <w:rPr>
          <w:rFonts w:ascii="Arial" w:hAnsi="Arial" w:cs="Arial"/>
          <w:sz w:val="20"/>
          <w:szCs w:val="20"/>
        </w:rPr>
      </w:pPr>
      <w:r w:rsidRPr="00AF440D">
        <w:rPr>
          <w:rFonts w:ascii="Arial" w:hAnsi="Arial" w:cs="Arial"/>
          <w:sz w:val="20"/>
          <w:szCs w:val="20"/>
        </w:rPr>
        <w:t>Major responsibility</w:t>
      </w:r>
    </w:p>
    <w:p w14:paraId="7162201C" w14:textId="77777777" w:rsidR="00EF10D8" w:rsidRPr="00AF440D" w:rsidRDefault="00EF10D8" w:rsidP="00EF10D8">
      <w:pPr>
        <w:pStyle w:val="Lijstalinea"/>
        <w:numPr>
          <w:ilvl w:val="0"/>
          <w:numId w:val="25"/>
        </w:numPr>
        <w:spacing w:afterLines="60" w:after="144" w:line="240" w:lineRule="auto"/>
        <w:contextualSpacing w:val="0"/>
        <w:rPr>
          <w:rFonts w:ascii="Arial" w:hAnsi="Arial" w:cs="Arial"/>
          <w:sz w:val="20"/>
          <w:szCs w:val="20"/>
        </w:rPr>
      </w:pPr>
      <w:r w:rsidRPr="00AF440D">
        <w:rPr>
          <w:rFonts w:ascii="Arial" w:hAnsi="Arial" w:cs="Arial"/>
          <w:sz w:val="20"/>
          <w:szCs w:val="20"/>
        </w:rPr>
        <w:t>Minor responsibility</w:t>
      </w:r>
    </w:p>
    <w:p w14:paraId="5C76C69C" w14:textId="77777777" w:rsidR="00EF10D8" w:rsidRPr="00AF440D" w:rsidRDefault="00EF10D8" w:rsidP="00EF10D8">
      <w:pPr>
        <w:pStyle w:val="Lijstalinea"/>
        <w:numPr>
          <w:ilvl w:val="0"/>
          <w:numId w:val="25"/>
        </w:numPr>
        <w:spacing w:afterLines="60" w:after="144" w:line="240" w:lineRule="auto"/>
        <w:contextualSpacing w:val="0"/>
        <w:rPr>
          <w:rFonts w:ascii="Arial" w:hAnsi="Arial" w:cs="Arial"/>
          <w:sz w:val="20"/>
          <w:szCs w:val="20"/>
        </w:rPr>
      </w:pPr>
      <w:r w:rsidRPr="00AF440D">
        <w:rPr>
          <w:rFonts w:ascii="Arial" w:hAnsi="Arial" w:cs="Arial"/>
          <w:sz w:val="20"/>
          <w:szCs w:val="20"/>
        </w:rPr>
        <w:t>No responsibility</w:t>
      </w:r>
    </w:p>
    <w:p w14:paraId="53AE3300" w14:textId="77777777" w:rsidR="00EF10D8" w:rsidRPr="00AF440D" w:rsidRDefault="00EF10D8" w:rsidP="00EF10D8">
      <w:pPr>
        <w:pStyle w:val="Lijstalinea"/>
        <w:numPr>
          <w:ilvl w:val="0"/>
          <w:numId w:val="25"/>
        </w:numPr>
        <w:spacing w:afterLines="60" w:after="144" w:line="240" w:lineRule="auto"/>
        <w:contextualSpacing w:val="0"/>
        <w:rPr>
          <w:rFonts w:ascii="Arial" w:hAnsi="Arial" w:cs="Arial"/>
          <w:sz w:val="20"/>
          <w:szCs w:val="20"/>
        </w:rPr>
      </w:pPr>
      <w:r w:rsidRPr="00AF440D">
        <w:rPr>
          <w:rFonts w:ascii="Arial" w:hAnsi="Arial" w:cs="Arial"/>
          <w:sz w:val="20"/>
          <w:szCs w:val="20"/>
        </w:rPr>
        <w:t>No opinion/unsure</w:t>
      </w:r>
    </w:p>
    <w:p w14:paraId="5CE76928" w14:textId="77777777" w:rsidR="00EF10D8" w:rsidRPr="00AF440D" w:rsidRDefault="00EF10D8" w:rsidP="00EF10D8">
      <w:pPr>
        <w:spacing w:afterLines="60" w:after="144"/>
        <w:rPr>
          <w:rFonts w:ascii="Arial" w:hAnsi="Arial" w:cs="Arial"/>
          <w:sz w:val="20"/>
          <w:szCs w:val="20"/>
        </w:rPr>
      </w:pPr>
    </w:p>
    <w:p w14:paraId="34B9FB6C"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Do you have any comments about medical student unwillingness to engage with TGNC care?</w:t>
      </w:r>
    </w:p>
    <w:p w14:paraId="5DEF3A8B" w14:textId="77777777" w:rsidR="00EF10D8" w:rsidRPr="00AF440D" w:rsidRDefault="00EF10D8" w:rsidP="00EF10D8">
      <w:pPr>
        <w:spacing w:afterLines="60" w:after="144"/>
        <w:rPr>
          <w:rFonts w:ascii="Arial" w:hAnsi="Arial" w:cs="Arial"/>
          <w:sz w:val="20"/>
          <w:szCs w:val="20"/>
        </w:rPr>
      </w:pPr>
    </w:p>
    <w:p w14:paraId="3DA5DE4F"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lastRenderedPageBreak/>
        <w:t>If a medical teacher is identified by UME as unwilling to engage with TGNC care, to what extent should the UME be responsible for challenging that belief?</w:t>
      </w:r>
    </w:p>
    <w:p w14:paraId="1F4E4130" w14:textId="77777777" w:rsidR="00EF10D8" w:rsidRPr="00AF440D" w:rsidRDefault="00EF10D8" w:rsidP="00EF10D8">
      <w:pPr>
        <w:pStyle w:val="Lijstalinea"/>
        <w:numPr>
          <w:ilvl w:val="0"/>
          <w:numId w:val="26"/>
        </w:numPr>
        <w:spacing w:afterLines="60" w:after="144" w:line="240" w:lineRule="auto"/>
        <w:contextualSpacing w:val="0"/>
        <w:rPr>
          <w:rFonts w:ascii="Arial" w:hAnsi="Arial" w:cs="Arial"/>
          <w:sz w:val="20"/>
          <w:szCs w:val="20"/>
        </w:rPr>
      </w:pPr>
      <w:r w:rsidRPr="00AF440D">
        <w:rPr>
          <w:rFonts w:ascii="Arial" w:hAnsi="Arial" w:cs="Arial"/>
          <w:sz w:val="20"/>
          <w:szCs w:val="20"/>
        </w:rPr>
        <w:t>Exclusive responsibility</w:t>
      </w:r>
    </w:p>
    <w:p w14:paraId="182782AA" w14:textId="77777777" w:rsidR="00EF10D8" w:rsidRPr="00AF440D" w:rsidRDefault="00EF10D8" w:rsidP="00EF10D8">
      <w:pPr>
        <w:pStyle w:val="Lijstalinea"/>
        <w:numPr>
          <w:ilvl w:val="0"/>
          <w:numId w:val="26"/>
        </w:numPr>
        <w:spacing w:afterLines="60" w:after="144" w:line="240" w:lineRule="auto"/>
        <w:contextualSpacing w:val="0"/>
        <w:rPr>
          <w:rFonts w:ascii="Arial" w:hAnsi="Arial" w:cs="Arial"/>
          <w:sz w:val="20"/>
          <w:szCs w:val="20"/>
        </w:rPr>
      </w:pPr>
      <w:r w:rsidRPr="00AF440D">
        <w:rPr>
          <w:rFonts w:ascii="Arial" w:hAnsi="Arial" w:cs="Arial"/>
          <w:sz w:val="20"/>
          <w:szCs w:val="20"/>
        </w:rPr>
        <w:t>Major responsibility</w:t>
      </w:r>
    </w:p>
    <w:p w14:paraId="3ECC7E63" w14:textId="77777777" w:rsidR="00EF10D8" w:rsidRPr="00AF440D" w:rsidRDefault="00EF10D8" w:rsidP="00EF10D8">
      <w:pPr>
        <w:pStyle w:val="Lijstalinea"/>
        <w:numPr>
          <w:ilvl w:val="0"/>
          <w:numId w:val="26"/>
        </w:numPr>
        <w:spacing w:afterLines="60" w:after="144" w:line="240" w:lineRule="auto"/>
        <w:contextualSpacing w:val="0"/>
        <w:rPr>
          <w:rFonts w:ascii="Arial" w:hAnsi="Arial" w:cs="Arial"/>
          <w:sz w:val="20"/>
          <w:szCs w:val="20"/>
        </w:rPr>
      </w:pPr>
      <w:r w:rsidRPr="00AF440D">
        <w:rPr>
          <w:rFonts w:ascii="Arial" w:hAnsi="Arial" w:cs="Arial"/>
          <w:sz w:val="20"/>
          <w:szCs w:val="20"/>
        </w:rPr>
        <w:t>Minor responsibility</w:t>
      </w:r>
    </w:p>
    <w:p w14:paraId="46197282" w14:textId="77777777" w:rsidR="00EF10D8" w:rsidRPr="00AF440D" w:rsidRDefault="00EF10D8" w:rsidP="00EF10D8">
      <w:pPr>
        <w:pStyle w:val="Lijstalinea"/>
        <w:numPr>
          <w:ilvl w:val="0"/>
          <w:numId w:val="26"/>
        </w:numPr>
        <w:spacing w:afterLines="60" w:after="144" w:line="240" w:lineRule="auto"/>
        <w:contextualSpacing w:val="0"/>
        <w:rPr>
          <w:rFonts w:ascii="Arial" w:hAnsi="Arial" w:cs="Arial"/>
          <w:sz w:val="20"/>
          <w:szCs w:val="20"/>
        </w:rPr>
      </w:pPr>
      <w:r w:rsidRPr="00AF440D">
        <w:rPr>
          <w:rFonts w:ascii="Arial" w:hAnsi="Arial" w:cs="Arial"/>
          <w:sz w:val="20"/>
          <w:szCs w:val="20"/>
        </w:rPr>
        <w:t>No responsibility</w:t>
      </w:r>
    </w:p>
    <w:p w14:paraId="594AB732" w14:textId="77777777" w:rsidR="00EF10D8" w:rsidRPr="00AF440D" w:rsidRDefault="00EF10D8" w:rsidP="00EF10D8">
      <w:pPr>
        <w:pStyle w:val="Lijstalinea"/>
        <w:numPr>
          <w:ilvl w:val="0"/>
          <w:numId w:val="26"/>
        </w:numPr>
        <w:spacing w:afterLines="60" w:after="144" w:line="240" w:lineRule="auto"/>
        <w:contextualSpacing w:val="0"/>
        <w:rPr>
          <w:rFonts w:ascii="Arial" w:hAnsi="Arial" w:cs="Arial"/>
          <w:sz w:val="20"/>
          <w:szCs w:val="20"/>
        </w:rPr>
      </w:pPr>
      <w:r w:rsidRPr="00AF440D">
        <w:rPr>
          <w:rFonts w:ascii="Arial" w:hAnsi="Arial" w:cs="Arial"/>
          <w:sz w:val="20"/>
          <w:szCs w:val="20"/>
        </w:rPr>
        <w:t>No opinion/unsure</w:t>
      </w:r>
    </w:p>
    <w:p w14:paraId="2262EE6E" w14:textId="77777777" w:rsidR="00EF10D8" w:rsidRPr="00AF440D" w:rsidRDefault="00EF10D8" w:rsidP="00EF10D8">
      <w:pPr>
        <w:spacing w:afterLines="60" w:after="144"/>
        <w:rPr>
          <w:rFonts w:ascii="Arial" w:hAnsi="Arial" w:cs="Arial"/>
          <w:sz w:val="20"/>
          <w:szCs w:val="20"/>
        </w:rPr>
      </w:pPr>
    </w:p>
    <w:p w14:paraId="4861AFB4"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Do you have any comments about medical teacher unwillingness to engage with TGNC care?</w:t>
      </w:r>
    </w:p>
    <w:p w14:paraId="669E59A4" w14:textId="77777777" w:rsidR="00EF10D8" w:rsidRPr="00AF440D" w:rsidRDefault="00EF10D8" w:rsidP="00EF10D8">
      <w:pPr>
        <w:spacing w:afterLines="60" w:after="144"/>
        <w:rPr>
          <w:rFonts w:ascii="Arial" w:hAnsi="Arial" w:cs="Arial"/>
          <w:sz w:val="20"/>
          <w:szCs w:val="20"/>
        </w:rPr>
      </w:pPr>
    </w:p>
    <w:p w14:paraId="63E1CCD5"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Intersectional issues</w:t>
      </w:r>
    </w:p>
    <w:p w14:paraId="687BE291"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How important is it that gender binaries be challenged in medical education?</w:t>
      </w:r>
    </w:p>
    <w:p w14:paraId="73AFB0AF" w14:textId="77777777" w:rsidR="00EF10D8" w:rsidRPr="00AF440D" w:rsidRDefault="00EF10D8" w:rsidP="00EF10D8">
      <w:pPr>
        <w:pStyle w:val="Lijstalinea"/>
        <w:numPr>
          <w:ilvl w:val="0"/>
          <w:numId w:val="27"/>
        </w:numPr>
        <w:spacing w:afterLines="60" w:after="144" w:line="240" w:lineRule="auto"/>
        <w:contextualSpacing w:val="0"/>
        <w:rPr>
          <w:rFonts w:ascii="Arial" w:hAnsi="Arial" w:cs="Arial"/>
          <w:sz w:val="20"/>
          <w:szCs w:val="20"/>
        </w:rPr>
      </w:pPr>
      <w:r w:rsidRPr="00AF440D">
        <w:rPr>
          <w:rFonts w:ascii="Arial" w:hAnsi="Arial" w:cs="Arial"/>
          <w:sz w:val="20"/>
          <w:szCs w:val="20"/>
        </w:rPr>
        <w:t>Critical importance</w:t>
      </w:r>
    </w:p>
    <w:p w14:paraId="361A2BE0" w14:textId="77777777" w:rsidR="00EF10D8" w:rsidRPr="00AF440D" w:rsidRDefault="00EF10D8" w:rsidP="00EF10D8">
      <w:pPr>
        <w:pStyle w:val="Lijstalinea"/>
        <w:numPr>
          <w:ilvl w:val="0"/>
          <w:numId w:val="27"/>
        </w:numPr>
        <w:spacing w:afterLines="60" w:after="144" w:line="240" w:lineRule="auto"/>
        <w:contextualSpacing w:val="0"/>
        <w:rPr>
          <w:rFonts w:ascii="Arial" w:hAnsi="Arial" w:cs="Arial"/>
          <w:sz w:val="20"/>
          <w:szCs w:val="20"/>
        </w:rPr>
      </w:pPr>
      <w:r w:rsidRPr="00AF440D">
        <w:rPr>
          <w:rFonts w:ascii="Arial" w:hAnsi="Arial" w:cs="Arial"/>
          <w:sz w:val="20"/>
          <w:szCs w:val="20"/>
        </w:rPr>
        <w:t>High importance</w:t>
      </w:r>
    </w:p>
    <w:p w14:paraId="2512056C" w14:textId="77777777" w:rsidR="00EF10D8" w:rsidRPr="00AF440D" w:rsidRDefault="00EF10D8" w:rsidP="00EF10D8">
      <w:pPr>
        <w:pStyle w:val="Lijstalinea"/>
        <w:numPr>
          <w:ilvl w:val="0"/>
          <w:numId w:val="27"/>
        </w:numPr>
        <w:spacing w:afterLines="60" w:after="144" w:line="240" w:lineRule="auto"/>
        <w:contextualSpacing w:val="0"/>
        <w:rPr>
          <w:rFonts w:ascii="Arial" w:hAnsi="Arial" w:cs="Arial"/>
          <w:sz w:val="20"/>
          <w:szCs w:val="20"/>
        </w:rPr>
      </w:pPr>
      <w:r w:rsidRPr="00AF440D">
        <w:rPr>
          <w:rFonts w:ascii="Arial" w:hAnsi="Arial" w:cs="Arial"/>
          <w:sz w:val="20"/>
          <w:szCs w:val="20"/>
        </w:rPr>
        <w:t>Moderate importance</w:t>
      </w:r>
    </w:p>
    <w:p w14:paraId="3F66B9EE" w14:textId="77777777" w:rsidR="00EF10D8" w:rsidRPr="00AF440D" w:rsidRDefault="00EF10D8" w:rsidP="00EF10D8">
      <w:pPr>
        <w:pStyle w:val="Lijstalinea"/>
        <w:numPr>
          <w:ilvl w:val="0"/>
          <w:numId w:val="27"/>
        </w:numPr>
        <w:spacing w:afterLines="60" w:after="144" w:line="240" w:lineRule="auto"/>
        <w:contextualSpacing w:val="0"/>
        <w:rPr>
          <w:rFonts w:ascii="Arial" w:hAnsi="Arial" w:cs="Arial"/>
          <w:sz w:val="20"/>
          <w:szCs w:val="20"/>
        </w:rPr>
      </w:pPr>
      <w:r w:rsidRPr="00AF440D">
        <w:rPr>
          <w:rFonts w:ascii="Arial" w:hAnsi="Arial" w:cs="Arial"/>
          <w:sz w:val="20"/>
          <w:szCs w:val="20"/>
        </w:rPr>
        <w:t>Low importance</w:t>
      </w:r>
    </w:p>
    <w:p w14:paraId="62F7B40E" w14:textId="77777777" w:rsidR="00EF10D8" w:rsidRPr="00AF440D" w:rsidRDefault="00EF10D8" w:rsidP="00EF10D8">
      <w:pPr>
        <w:pStyle w:val="Lijstalinea"/>
        <w:numPr>
          <w:ilvl w:val="0"/>
          <w:numId w:val="27"/>
        </w:numPr>
        <w:spacing w:afterLines="60" w:after="144" w:line="240" w:lineRule="auto"/>
        <w:contextualSpacing w:val="0"/>
        <w:rPr>
          <w:rFonts w:ascii="Arial" w:hAnsi="Arial" w:cs="Arial"/>
          <w:sz w:val="20"/>
          <w:szCs w:val="20"/>
        </w:rPr>
      </w:pPr>
      <w:r w:rsidRPr="00AF440D">
        <w:rPr>
          <w:rFonts w:ascii="Arial" w:hAnsi="Arial" w:cs="Arial"/>
          <w:sz w:val="20"/>
          <w:szCs w:val="20"/>
        </w:rPr>
        <w:t>No importance</w:t>
      </w:r>
    </w:p>
    <w:p w14:paraId="53C359B2" w14:textId="77777777" w:rsidR="00EF10D8" w:rsidRPr="00AF440D" w:rsidRDefault="00EF10D8" w:rsidP="00EF10D8">
      <w:pPr>
        <w:pStyle w:val="Lijstalinea"/>
        <w:numPr>
          <w:ilvl w:val="0"/>
          <w:numId w:val="27"/>
        </w:numPr>
        <w:spacing w:afterLines="60" w:after="144" w:line="240" w:lineRule="auto"/>
        <w:contextualSpacing w:val="0"/>
        <w:rPr>
          <w:rFonts w:ascii="Arial" w:hAnsi="Arial" w:cs="Arial"/>
          <w:sz w:val="20"/>
          <w:szCs w:val="20"/>
        </w:rPr>
      </w:pPr>
      <w:r w:rsidRPr="00AF440D">
        <w:rPr>
          <w:rFonts w:ascii="Arial" w:hAnsi="Arial" w:cs="Arial"/>
          <w:sz w:val="20"/>
          <w:szCs w:val="20"/>
        </w:rPr>
        <w:t>No opinion/unsure</w:t>
      </w:r>
    </w:p>
    <w:p w14:paraId="0854EEFD" w14:textId="77777777" w:rsidR="00EF10D8" w:rsidRPr="00AF440D" w:rsidRDefault="00EF10D8" w:rsidP="00EF10D8">
      <w:pPr>
        <w:spacing w:afterLines="60" w:after="144"/>
        <w:rPr>
          <w:rFonts w:ascii="Arial" w:hAnsi="Arial" w:cs="Arial"/>
          <w:sz w:val="20"/>
          <w:szCs w:val="20"/>
        </w:rPr>
      </w:pPr>
    </w:p>
    <w:p w14:paraId="3D6113E9"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How important is it to teach TGNC care in terms of its intersections with the following topics: [options: Critical importance</w:t>
      </w:r>
      <w:r w:rsidRPr="00AF440D">
        <w:rPr>
          <w:rFonts w:ascii="Arial" w:hAnsi="Arial" w:cs="Arial"/>
          <w:sz w:val="20"/>
          <w:szCs w:val="20"/>
        </w:rPr>
        <w:tab/>
        <w:t>High importance</w:t>
      </w:r>
      <w:r w:rsidRPr="00AF440D">
        <w:rPr>
          <w:rFonts w:ascii="Arial" w:hAnsi="Arial" w:cs="Arial"/>
          <w:sz w:val="20"/>
          <w:szCs w:val="20"/>
        </w:rPr>
        <w:tab/>
        <w:t>Moderate importance</w:t>
      </w:r>
      <w:r w:rsidRPr="00AF440D">
        <w:rPr>
          <w:rFonts w:ascii="Arial" w:hAnsi="Arial" w:cs="Arial"/>
          <w:sz w:val="20"/>
          <w:szCs w:val="20"/>
        </w:rPr>
        <w:tab/>
        <w:t>Low importance</w:t>
      </w:r>
      <w:r w:rsidRPr="00AF440D">
        <w:rPr>
          <w:rFonts w:ascii="Arial" w:hAnsi="Arial" w:cs="Arial"/>
          <w:sz w:val="20"/>
          <w:szCs w:val="20"/>
        </w:rPr>
        <w:tab/>
        <w:t>No importance</w:t>
      </w:r>
      <w:r w:rsidRPr="00AF440D">
        <w:rPr>
          <w:rFonts w:ascii="Arial" w:hAnsi="Arial" w:cs="Arial"/>
          <w:sz w:val="20"/>
          <w:szCs w:val="20"/>
        </w:rPr>
        <w:tab/>
        <w:t>No opinion/unsure]</w:t>
      </w:r>
    </w:p>
    <w:p w14:paraId="5045ADBB" w14:textId="77777777" w:rsidR="00EF10D8" w:rsidRPr="00AF440D" w:rsidRDefault="00EF10D8" w:rsidP="00EF10D8">
      <w:pPr>
        <w:pStyle w:val="Lijstalinea"/>
        <w:numPr>
          <w:ilvl w:val="0"/>
          <w:numId w:val="28"/>
        </w:numPr>
        <w:spacing w:afterLines="60" w:after="144" w:line="240" w:lineRule="auto"/>
        <w:contextualSpacing w:val="0"/>
        <w:rPr>
          <w:rFonts w:ascii="Arial" w:hAnsi="Arial" w:cs="Arial"/>
          <w:sz w:val="20"/>
          <w:szCs w:val="20"/>
        </w:rPr>
      </w:pPr>
      <w:r w:rsidRPr="00AF440D">
        <w:rPr>
          <w:rFonts w:ascii="Arial" w:hAnsi="Arial" w:cs="Arial"/>
          <w:sz w:val="20"/>
          <w:szCs w:val="20"/>
        </w:rPr>
        <w:t>Social determinants of health</w:t>
      </w:r>
    </w:p>
    <w:p w14:paraId="1C26C1D7" w14:textId="77777777" w:rsidR="00EF10D8" w:rsidRPr="00AF440D" w:rsidRDefault="00EF10D8" w:rsidP="00EF10D8">
      <w:pPr>
        <w:pStyle w:val="Lijstalinea"/>
        <w:numPr>
          <w:ilvl w:val="0"/>
          <w:numId w:val="28"/>
        </w:numPr>
        <w:spacing w:afterLines="60" w:after="144" w:line="240" w:lineRule="auto"/>
        <w:contextualSpacing w:val="0"/>
        <w:rPr>
          <w:rFonts w:ascii="Arial" w:hAnsi="Arial" w:cs="Arial"/>
          <w:sz w:val="20"/>
          <w:szCs w:val="20"/>
        </w:rPr>
      </w:pPr>
      <w:r w:rsidRPr="00AF440D">
        <w:rPr>
          <w:rFonts w:ascii="Arial" w:hAnsi="Arial" w:cs="Arial"/>
          <w:sz w:val="20"/>
          <w:szCs w:val="20"/>
        </w:rPr>
        <w:t>Race and ethnicity</w:t>
      </w:r>
    </w:p>
    <w:p w14:paraId="15E725F5" w14:textId="77777777" w:rsidR="00EF10D8" w:rsidRPr="00AF440D" w:rsidRDefault="00EF10D8" w:rsidP="00EF10D8">
      <w:pPr>
        <w:pStyle w:val="Lijstalinea"/>
        <w:numPr>
          <w:ilvl w:val="0"/>
          <w:numId w:val="28"/>
        </w:numPr>
        <w:spacing w:afterLines="60" w:after="144" w:line="240" w:lineRule="auto"/>
        <w:contextualSpacing w:val="0"/>
        <w:rPr>
          <w:rFonts w:ascii="Arial" w:hAnsi="Arial" w:cs="Arial"/>
          <w:sz w:val="20"/>
          <w:szCs w:val="20"/>
        </w:rPr>
      </w:pPr>
      <w:r w:rsidRPr="00AF440D">
        <w:rPr>
          <w:rFonts w:ascii="Arial" w:hAnsi="Arial" w:cs="Arial"/>
          <w:sz w:val="20"/>
          <w:szCs w:val="20"/>
        </w:rPr>
        <w:t>Culture</w:t>
      </w:r>
    </w:p>
    <w:p w14:paraId="5FA7DB1A" w14:textId="77777777" w:rsidR="00EF10D8" w:rsidRPr="00AF440D" w:rsidRDefault="00EF10D8" w:rsidP="00EF10D8">
      <w:pPr>
        <w:pStyle w:val="Lijstalinea"/>
        <w:numPr>
          <w:ilvl w:val="0"/>
          <w:numId w:val="28"/>
        </w:numPr>
        <w:spacing w:afterLines="60" w:after="144" w:line="240" w:lineRule="auto"/>
        <w:contextualSpacing w:val="0"/>
        <w:rPr>
          <w:rFonts w:ascii="Arial" w:hAnsi="Arial" w:cs="Arial"/>
          <w:sz w:val="20"/>
          <w:szCs w:val="20"/>
        </w:rPr>
      </w:pPr>
      <w:r w:rsidRPr="00AF440D">
        <w:rPr>
          <w:rFonts w:ascii="Arial" w:hAnsi="Arial" w:cs="Arial"/>
          <w:sz w:val="20"/>
          <w:szCs w:val="20"/>
        </w:rPr>
        <w:t>Socioeconomic status</w:t>
      </w:r>
    </w:p>
    <w:p w14:paraId="458D7001" w14:textId="77777777" w:rsidR="00EF10D8" w:rsidRPr="00AF440D" w:rsidRDefault="00EF10D8" w:rsidP="00EF10D8">
      <w:pPr>
        <w:pStyle w:val="Lijstalinea"/>
        <w:numPr>
          <w:ilvl w:val="0"/>
          <w:numId w:val="28"/>
        </w:numPr>
        <w:spacing w:afterLines="60" w:after="144" w:line="240" w:lineRule="auto"/>
        <w:contextualSpacing w:val="0"/>
        <w:rPr>
          <w:rFonts w:ascii="Arial" w:hAnsi="Arial" w:cs="Arial"/>
          <w:sz w:val="20"/>
          <w:szCs w:val="20"/>
        </w:rPr>
      </w:pPr>
      <w:r w:rsidRPr="00AF440D">
        <w:rPr>
          <w:rFonts w:ascii="Arial" w:hAnsi="Arial" w:cs="Arial"/>
          <w:sz w:val="20"/>
          <w:szCs w:val="20"/>
        </w:rPr>
        <w:t>How to advocate for TGNC individuals in general</w:t>
      </w:r>
    </w:p>
    <w:p w14:paraId="5E0E9DFE" w14:textId="77777777" w:rsidR="00EF10D8" w:rsidRPr="00AF440D" w:rsidRDefault="00EF10D8" w:rsidP="00EF10D8">
      <w:pPr>
        <w:pStyle w:val="Lijstalinea"/>
        <w:numPr>
          <w:ilvl w:val="0"/>
          <w:numId w:val="28"/>
        </w:numPr>
        <w:spacing w:afterLines="60" w:after="144" w:line="240" w:lineRule="auto"/>
        <w:contextualSpacing w:val="0"/>
        <w:rPr>
          <w:rFonts w:ascii="Arial" w:hAnsi="Arial" w:cs="Arial"/>
          <w:sz w:val="20"/>
          <w:szCs w:val="20"/>
        </w:rPr>
      </w:pPr>
      <w:r w:rsidRPr="00AF440D">
        <w:rPr>
          <w:rFonts w:ascii="Arial" w:hAnsi="Arial" w:cs="Arial"/>
          <w:sz w:val="20"/>
          <w:szCs w:val="20"/>
        </w:rPr>
        <w:t>How to combat transphobia and discrimination against TGNC individuals in general</w:t>
      </w:r>
    </w:p>
    <w:p w14:paraId="71D00BFC"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5568C645"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What other intersectional topics should be a part of TGNC teaching in UME?</w:t>
      </w:r>
    </w:p>
    <w:p w14:paraId="2F8B2B7F" w14:textId="77777777" w:rsidR="00EF10D8" w:rsidRPr="00AF440D" w:rsidRDefault="00EF10D8" w:rsidP="00EF10D8">
      <w:pPr>
        <w:spacing w:afterLines="60" w:after="144"/>
        <w:rPr>
          <w:rFonts w:ascii="Arial" w:hAnsi="Arial" w:cs="Arial"/>
          <w:sz w:val="20"/>
          <w:szCs w:val="20"/>
        </w:rPr>
      </w:pPr>
    </w:p>
    <w:p w14:paraId="0910663B"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How important is it that intersex topics should also be taught in UME?</w:t>
      </w:r>
    </w:p>
    <w:p w14:paraId="552E96A9" w14:textId="77777777" w:rsidR="00EF10D8" w:rsidRPr="00AF440D" w:rsidRDefault="00EF10D8" w:rsidP="00EF10D8">
      <w:pPr>
        <w:pStyle w:val="Lijstalinea"/>
        <w:numPr>
          <w:ilvl w:val="0"/>
          <w:numId w:val="29"/>
        </w:numPr>
        <w:spacing w:afterLines="60" w:after="144" w:line="240" w:lineRule="auto"/>
        <w:contextualSpacing w:val="0"/>
        <w:rPr>
          <w:rFonts w:ascii="Arial" w:hAnsi="Arial" w:cs="Arial"/>
          <w:sz w:val="20"/>
          <w:szCs w:val="20"/>
        </w:rPr>
      </w:pPr>
      <w:r w:rsidRPr="00AF440D">
        <w:rPr>
          <w:rFonts w:ascii="Arial" w:hAnsi="Arial" w:cs="Arial"/>
          <w:sz w:val="20"/>
          <w:szCs w:val="20"/>
        </w:rPr>
        <w:t>Critical importance</w:t>
      </w:r>
    </w:p>
    <w:p w14:paraId="7756B831" w14:textId="77777777" w:rsidR="00EF10D8" w:rsidRPr="00AF440D" w:rsidRDefault="00EF10D8" w:rsidP="00EF10D8">
      <w:pPr>
        <w:pStyle w:val="Lijstalinea"/>
        <w:numPr>
          <w:ilvl w:val="0"/>
          <w:numId w:val="29"/>
        </w:numPr>
        <w:spacing w:afterLines="60" w:after="144" w:line="240" w:lineRule="auto"/>
        <w:contextualSpacing w:val="0"/>
        <w:rPr>
          <w:rFonts w:ascii="Arial" w:hAnsi="Arial" w:cs="Arial"/>
          <w:sz w:val="20"/>
          <w:szCs w:val="20"/>
        </w:rPr>
      </w:pPr>
      <w:r w:rsidRPr="00AF440D">
        <w:rPr>
          <w:rFonts w:ascii="Arial" w:hAnsi="Arial" w:cs="Arial"/>
          <w:sz w:val="20"/>
          <w:szCs w:val="20"/>
        </w:rPr>
        <w:t>High importance</w:t>
      </w:r>
    </w:p>
    <w:p w14:paraId="54E53818" w14:textId="77777777" w:rsidR="00EF10D8" w:rsidRPr="00AF440D" w:rsidRDefault="00EF10D8" w:rsidP="00EF10D8">
      <w:pPr>
        <w:pStyle w:val="Lijstalinea"/>
        <w:numPr>
          <w:ilvl w:val="0"/>
          <w:numId w:val="29"/>
        </w:numPr>
        <w:spacing w:afterLines="60" w:after="144" w:line="240" w:lineRule="auto"/>
        <w:contextualSpacing w:val="0"/>
        <w:rPr>
          <w:rFonts w:ascii="Arial" w:hAnsi="Arial" w:cs="Arial"/>
          <w:sz w:val="20"/>
          <w:szCs w:val="20"/>
        </w:rPr>
      </w:pPr>
      <w:r w:rsidRPr="00AF440D">
        <w:rPr>
          <w:rFonts w:ascii="Arial" w:hAnsi="Arial" w:cs="Arial"/>
          <w:sz w:val="20"/>
          <w:szCs w:val="20"/>
        </w:rPr>
        <w:t>Moderate importance</w:t>
      </w:r>
    </w:p>
    <w:p w14:paraId="78A5DA24" w14:textId="77777777" w:rsidR="00EF10D8" w:rsidRPr="00AF440D" w:rsidRDefault="00EF10D8" w:rsidP="00EF10D8">
      <w:pPr>
        <w:pStyle w:val="Lijstalinea"/>
        <w:numPr>
          <w:ilvl w:val="0"/>
          <w:numId w:val="29"/>
        </w:numPr>
        <w:spacing w:afterLines="60" w:after="144" w:line="240" w:lineRule="auto"/>
        <w:contextualSpacing w:val="0"/>
        <w:rPr>
          <w:rFonts w:ascii="Arial" w:hAnsi="Arial" w:cs="Arial"/>
          <w:sz w:val="20"/>
          <w:szCs w:val="20"/>
        </w:rPr>
      </w:pPr>
      <w:r w:rsidRPr="00AF440D">
        <w:rPr>
          <w:rFonts w:ascii="Arial" w:hAnsi="Arial" w:cs="Arial"/>
          <w:sz w:val="20"/>
          <w:szCs w:val="20"/>
        </w:rPr>
        <w:lastRenderedPageBreak/>
        <w:t>Low importance</w:t>
      </w:r>
    </w:p>
    <w:p w14:paraId="0DAE86BA" w14:textId="77777777" w:rsidR="00EF10D8" w:rsidRPr="00AF440D" w:rsidRDefault="00EF10D8" w:rsidP="00EF10D8">
      <w:pPr>
        <w:pStyle w:val="Lijstalinea"/>
        <w:numPr>
          <w:ilvl w:val="0"/>
          <w:numId w:val="29"/>
        </w:numPr>
        <w:spacing w:afterLines="60" w:after="144" w:line="240" w:lineRule="auto"/>
        <w:contextualSpacing w:val="0"/>
        <w:rPr>
          <w:rFonts w:ascii="Arial" w:hAnsi="Arial" w:cs="Arial"/>
          <w:sz w:val="20"/>
          <w:szCs w:val="20"/>
        </w:rPr>
      </w:pPr>
      <w:r w:rsidRPr="00AF440D">
        <w:rPr>
          <w:rFonts w:ascii="Arial" w:hAnsi="Arial" w:cs="Arial"/>
          <w:sz w:val="20"/>
          <w:szCs w:val="20"/>
        </w:rPr>
        <w:t>No importance</w:t>
      </w:r>
    </w:p>
    <w:p w14:paraId="7B73338E" w14:textId="77777777" w:rsidR="00EF10D8" w:rsidRPr="00AF440D" w:rsidRDefault="00EF10D8" w:rsidP="00EF10D8">
      <w:pPr>
        <w:pStyle w:val="Lijstalinea"/>
        <w:numPr>
          <w:ilvl w:val="0"/>
          <w:numId w:val="29"/>
        </w:numPr>
        <w:spacing w:afterLines="60" w:after="144" w:line="240" w:lineRule="auto"/>
        <w:contextualSpacing w:val="0"/>
        <w:rPr>
          <w:rFonts w:ascii="Arial" w:hAnsi="Arial" w:cs="Arial"/>
          <w:sz w:val="20"/>
          <w:szCs w:val="20"/>
        </w:rPr>
      </w:pPr>
      <w:r w:rsidRPr="00AF440D">
        <w:rPr>
          <w:rFonts w:ascii="Arial" w:hAnsi="Arial" w:cs="Arial"/>
          <w:sz w:val="20"/>
          <w:szCs w:val="20"/>
        </w:rPr>
        <w:t>No opinion/unsure</w:t>
      </w:r>
    </w:p>
    <w:p w14:paraId="0D8DD250" w14:textId="77777777" w:rsidR="00EF10D8" w:rsidRPr="00AF440D" w:rsidRDefault="00EF10D8" w:rsidP="00EF10D8">
      <w:pPr>
        <w:spacing w:afterLines="60" w:after="144"/>
        <w:rPr>
          <w:rFonts w:ascii="Arial" w:hAnsi="Arial" w:cs="Arial"/>
          <w:sz w:val="20"/>
          <w:szCs w:val="20"/>
        </w:rPr>
      </w:pPr>
    </w:p>
    <w:p w14:paraId="14CA0721"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What relative priority should be given to TGNC and intersex teaching in UME?</w:t>
      </w:r>
    </w:p>
    <w:p w14:paraId="25803C14" w14:textId="77777777" w:rsidR="00EF10D8" w:rsidRPr="00AF440D" w:rsidRDefault="00EF10D8" w:rsidP="00EF10D8">
      <w:pPr>
        <w:pStyle w:val="Lijstalinea"/>
        <w:numPr>
          <w:ilvl w:val="0"/>
          <w:numId w:val="31"/>
        </w:numPr>
        <w:spacing w:afterLines="60" w:after="144" w:line="240" w:lineRule="auto"/>
        <w:contextualSpacing w:val="0"/>
        <w:rPr>
          <w:rFonts w:ascii="Arial" w:hAnsi="Arial" w:cs="Arial"/>
          <w:sz w:val="20"/>
          <w:szCs w:val="20"/>
        </w:rPr>
      </w:pPr>
      <w:r w:rsidRPr="00AF440D">
        <w:rPr>
          <w:rFonts w:ascii="Arial" w:hAnsi="Arial" w:cs="Arial"/>
          <w:sz w:val="20"/>
          <w:szCs w:val="20"/>
        </w:rPr>
        <w:t>Teaching intersex topics is much more important than teaching TGNC topics in UME</w:t>
      </w:r>
    </w:p>
    <w:p w14:paraId="438DA2DB" w14:textId="77777777" w:rsidR="00EF10D8" w:rsidRPr="00AF440D" w:rsidRDefault="00EF10D8" w:rsidP="00EF10D8">
      <w:pPr>
        <w:pStyle w:val="Lijstalinea"/>
        <w:numPr>
          <w:ilvl w:val="0"/>
          <w:numId w:val="31"/>
        </w:numPr>
        <w:spacing w:afterLines="60" w:after="144" w:line="240" w:lineRule="auto"/>
        <w:contextualSpacing w:val="0"/>
        <w:rPr>
          <w:rFonts w:ascii="Arial" w:hAnsi="Arial" w:cs="Arial"/>
          <w:sz w:val="20"/>
          <w:szCs w:val="20"/>
        </w:rPr>
      </w:pPr>
      <w:r w:rsidRPr="00AF440D">
        <w:rPr>
          <w:rFonts w:ascii="Arial" w:hAnsi="Arial" w:cs="Arial"/>
          <w:sz w:val="20"/>
          <w:szCs w:val="20"/>
        </w:rPr>
        <w:t>Teaching intersex topics is moderately more important than teaching TGNC topics in UME</w:t>
      </w:r>
    </w:p>
    <w:p w14:paraId="2BAD925D" w14:textId="77777777" w:rsidR="00EF10D8" w:rsidRPr="00AF440D" w:rsidRDefault="00EF10D8" w:rsidP="00EF10D8">
      <w:pPr>
        <w:pStyle w:val="Lijstalinea"/>
        <w:numPr>
          <w:ilvl w:val="0"/>
          <w:numId w:val="31"/>
        </w:numPr>
        <w:spacing w:afterLines="60" w:after="144" w:line="240" w:lineRule="auto"/>
        <w:contextualSpacing w:val="0"/>
        <w:rPr>
          <w:rFonts w:ascii="Arial" w:hAnsi="Arial" w:cs="Arial"/>
          <w:sz w:val="20"/>
          <w:szCs w:val="20"/>
        </w:rPr>
      </w:pPr>
      <w:r w:rsidRPr="00AF440D">
        <w:rPr>
          <w:rFonts w:ascii="Arial" w:hAnsi="Arial" w:cs="Arial"/>
          <w:sz w:val="20"/>
          <w:szCs w:val="20"/>
        </w:rPr>
        <w:t>Teaching intersex topics is of equal importance to teaching TGNC topics in UME</w:t>
      </w:r>
    </w:p>
    <w:p w14:paraId="3CD4B55B" w14:textId="77777777" w:rsidR="00EF10D8" w:rsidRPr="00AF440D" w:rsidRDefault="00EF10D8" w:rsidP="00EF10D8">
      <w:pPr>
        <w:pStyle w:val="Lijstalinea"/>
        <w:numPr>
          <w:ilvl w:val="0"/>
          <w:numId w:val="31"/>
        </w:numPr>
        <w:spacing w:afterLines="60" w:after="144" w:line="240" w:lineRule="auto"/>
        <w:contextualSpacing w:val="0"/>
        <w:rPr>
          <w:rFonts w:ascii="Arial" w:hAnsi="Arial" w:cs="Arial"/>
          <w:sz w:val="20"/>
          <w:szCs w:val="20"/>
        </w:rPr>
      </w:pPr>
      <w:r w:rsidRPr="00AF440D">
        <w:rPr>
          <w:rFonts w:ascii="Arial" w:hAnsi="Arial" w:cs="Arial"/>
          <w:sz w:val="20"/>
          <w:szCs w:val="20"/>
        </w:rPr>
        <w:t>Teaching TGNC topics is moderately more important than teaching intersex topics in UME</w:t>
      </w:r>
    </w:p>
    <w:p w14:paraId="473E270B" w14:textId="77777777" w:rsidR="00EF10D8" w:rsidRPr="00AF440D" w:rsidRDefault="00EF10D8" w:rsidP="00EF10D8">
      <w:pPr>
        <w:pStyle w:val="Lijstalinea"/>
        <w:numPr>
          <w:ilvl w:val="0"/>
          <w:numId w:val="31"/>
        </w:numPr>
        <w:spacing w:afterLines="60" w:after="144" w:line="240" w:lineRule="auto"/>
        <w:contextualSpacing w:val="0"/>
        <w:rPr>
          <w:rFonts w:ascii="Arial" w:hAnsi="Arial" w:cs="Arial"/>
          <w:sz w:val="20"/>
          <w:szCs w:val="20"/>
        </w:rPr>
      </w:pPr>
      <w:r w:rsidRPr="00AF440D">
        <w:rPr>
          <w:rFonts w:ascii="Arial" w:hAnsi="Arial" w:cs="Arial"/>
          <w:sz w:val="20"/>
          <w:szCs w:val="20"/>
        </w:rPr>
        <w:t>Teaching TGNC topics is much more important than teaching intersex topics in UME</w:t>
      </w:r>
    </w:p>
    <w:p w14:paraId="366CB9AC" w14:textId="77777777" w:rsidR="00EF10D8" w:rsidRPr="00AF440D" w:rsidRDefault="00EF10D8" w:rsidP="00EF10D8">
      <w:pPr>
        <w:spacing w:afterLines="60" w:after="144"/>
        <w:rPr>
          <w:rFonts w:ascii="Arial" w:hAnsi="Arial" w:cs="Arial"/>
          <w:sz w:val="20"/>
          <w:szCs w:val="20"/>
        </w:rPr>
      </w:pPr>
    </w:p>
    <w:p w14:paraId="041BCBD0"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To what extent should TGNC and intersex topics be taught together?</w:t>
      </w:r>
    </w:p>
    <w:p w14:paraId="39669340" w14:textId="77777777" w:rsidR="00EF10D8" w:rsidRPr="00AF440D" w:rsidRDefault="00EF10D8" w:rsidP="00EF10D8">
      <w:pPr>
        <w:pStyle w:val="Lijstalinea"/>
        <w:numPr>
          <w:ilvl w:val="0"/>
          <w:numId w:val="30"/>
        </w:numPr>
        <w:spacing w:afterLines="60" w:after="144" w:line="240" w:lineRule="auto"/>
        <w:contextualSpacing w:val="0"/>
        <w:rPr>
          <w:rFonts w:ascii="Arial" w:hAnsi="Arial" w:cs="Arial"/>
          <w:sz w:val="20"/>
          <w:szCs w:val="20"/>
        </w:rPr>
      </w:pPr>
      <w:r w:rsidRPr="00AF440D">
        <w:rPr>
          <w:rFonts w:ascii="Arial" w:hAnsi="Arial" w:cs="Arial"/>
          <w:sz w:val="20"/>
          <w:szCs w:val="20"/>
        </w:rPr>
        <w:t>TGNC and intersex topics should be fully taught together</w:t>
      </w:r>
    </w:p>
    <w:p w14:paraId="2F2BC9EE" w14:textId="77777777" w:rsidR="00EF10D8" w:rsidRPr="00AF440D" w:rsidRDefault="00EF10D8" w:rsidP="00EF10D8">
      <w:pPr>
        <w:pStyle w:val="Lijstalinea"/>
        <w:numPr>
          <w:ilvl w:val="0"/>
          <w:numId w:val="30"/>
        </w:numPr>
        <w:spacing w:afterLines="60" w:after="144" w:line="240" w:lineRule="auto"/>
        <w:contextualSpacing w:val="0"/>
        <w:rPr>
          <w:rFonts w:ascii="Arial" w:hAnsi="Arial" w:cs="Arial"/>
          <w:sz w:val="20"/>
          <w:szCs w:val="20"/>
        </w:rPr>
      </w:pPr>
      <w:r w:rsidRPr="00AF440D">
        <w:rPr>
          <w:rFonts w:ascii="Arial" w:hAnsi="Arial" w:cs="Arial"/>
          <w:sz w:val="20"/>
          <w:szCs w:val="20"/>
        </w:rPr>
        <w:t>TGNC and intersex topics should be partly taught together</w:t>
      </w:r>
    </w:p>
    <w:p w14:paraId="3DEE7478" w14:textId="77777777" w:rsidR="00EF10D8" w:rsidRPr="00AF440D" w:rsidRDefault="00EF10D8" w:rsidP="00EF10D8">
      <w:pPr>
        <w:pStyle w:val="Lijstalinea"/>
        <w:numPr>
          <w:ilvl w:val="0"/>
          <w:numId w:val="30"/>
        </w:numPr>
        <w:spacing w:afterLines="60" w:after="144" w:line="240" w:lineRule="auto"/>
        <w:contextualSpacing w:val="0"/>
        <w:rPr>
          <w:rFonts w:ascii="Arial" w:hAnsi="Arial" w:cs="Arial"/>
          <w:sz w:val="20"/>
          <w:szCs w:val="20"/>
        </w:rPr>
      </w:pPr>
      <w:r w:rsidRPr="00AF440D">
        <w:rPr>
          <w:rFonts w:ascii="Arial" w:hAnsi="Arial" w:cs="Arial"/>
          <w:sz w:val="20"/>
          <w:szCs w:val="20"/>
        </w:rPr>
        <w:t>TGNC and intersex topics should be taught completely separately</w:t>
      </w:r>
    </w:p>
    <w:p w14:paraId="7FF70498" w14:textId="77777777" w:rsidR="00EF10D8" w:rsidRPr="00AF440D" w:rsidRDefault="00EF10D8" w:rsidP="00EF10D8">
      <w:pPr>
        <w:pStyle w:val="Lijstalinea"/>
        <w:numPr>
          <w:ilvl w:val="0"/>
          <w:numId w:val="30"/>
        </w:numPr>
        <w:spacing w:afterLines="60" w:after="144" w:line="240" w:lineRule="auto"/>
        <w:contextualSpacing w:val="0"/>
        <w:rPr>
          <w:rFonts w:ascii="Arial" w:hAnsi="Arial" w:cs="Arial"/>
          <w:sz w:val="20"/>
          <w:szCs w:val="20"/>
        </w:rPr>
      </w:pPr>
      <w:r w:rsidRPr="00AF440D">
        <w:rPr>
          <w:rFonts w:ascii="Arial" w:hAnsi="Arial" w:cs="Arial"/>
          <w:sz w:val="20"/>
          <w:szCs w:val="20"/>
        </w:rPr>
        <w:t>Do you have any comments about TGNC and intersex teaching in UME?</w:t>
      </w:r>
    </w:p>
    <w:p w14:paraId="427835BA" w14:textId="77777777" w:rsidR="00EF10D8" w:rsidRPr="00AF440D" w:rsidRDefault="00EF10D8" w:rsidP="00EF10D8">
      <w:pPr>
        <w:spacing w:afterLines="60" w:after="144"/>
        <w:rPr>
          <w:rFonts w:ascii="Arial" w:hAnsi="Arial" w:cs="Arial"/>
          <w:sz w:val="20"/>
          <w:szCs w:val="20"/>
        </w:rPr>
      </w:pPr>
    </w:p>
    <w:p w14:paraId="18B1F9D0"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Closing comments</w:t>
      </w:r>
    </w:p>
    <w:p w14:paraId="7EC960D9"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Do you have any final comments on teaching TGNC care at the UME level?</w:t>
      </w:r>
    </w:p>
    <w:p w14:paraId="0E955F31" w14:textId="77777777" w:rsidR="00EF10D8" w:rsidRPr="00AF440D" w:rsidRDefault="00EF10D8" w:rsidP="00EF10D8">
      <w:pPr>
        <w:spacing w:afterLines="60" w:after="144"/>
        <w:rPr>
          <w:rFonts w:ascii="Arial" w:hAnsi="Arial" w:cs="Arial"/>
          <w:sz w:val="20"/>
          <w:szCs w:val="20"/>
        </w:rPr>
      </w:pPr>
    </w:p>
    <w:p w14:paraId="1371A61B"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w:t>
      </w:r>
    </w:p>
    <w:p w14:paraId="09FE2258" w14:textId="77777777" w:rsidR="00EF10D8" w:rsidRPr="00AF440D" w:rsidRDefault="00EF10D8" w:rsidP="00EF10D8">
      <w:pPr>
        <w:spacing w:afterLines="60" w:after="144"/>
        <w:rPr>
          <w:rFonts w:ascii="Arial" w:hAnsi="Arial" w:cs="Arial"/>
          <w:sz w:val="20"/>
          <w:szCs w:val="20"/>
        </w:rPr>
      </w:pPr>
    </w:p>
    <w:p w14:paraId="757836D9" w14:textId="77777777" w:rsidR="00EF10D8" w:rsidRPr="00AF440D" w:rsidRDefault="00EF10D8" w:rsidP="00EF10D8">
      <w:pPr>
        <w:spacing w:afterLines="60" w:after="144"/>
        <w:rPr>
          <w:rFonts w:ascii="Arial" w:hAnsi="Arial" w:cs="Arial"/>
          <w:b/>
          <w:bCs/>
          <w:sz w:val="20"/>
          <w:szCs w:val="20"/>
        </w:rPr>
      </w:pPr>
      <w:r w:rsidRPr="00AF440D">
        <w:rPr>
          <w:rFonts w:ascii="Arial" w:hAnsi="Arial" w:cs="Arial"/>
          <w:b/>
          <w:bCs/>
          <w:sz w:val="20"/>
          <w:szCs w:val="20"/>
        </w:rPr>
        <w:t>Round 4</w:t>
      </w:r>
    </w:p>
    <w:p w14:paraId="1FDD1B78"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Thank you for your continued contribution to this process.  This is the fourth and final consensus building round and will be your last opportunity to provide input. Following this round, our recommendations will be evaluated by a panel of TGD identified people and families/loved ones of TGD identified people in focus groups. In this round we are seeking your input on our provisional recommendations as well as your comments on the areas where we have not had consensus. We have structured our questions around three areas: core syllabus, core values, and core curriculum</w:t>
      </w:r>
    </w:p>
    <w:p w14:paraId="00738F28" w14:textId="77777777" w:rsidR="00EF10D8" w:rsidRPr="00AF440D" w:rsidRDefault="00EF10D8" w:rsidP="00EF10D8">
      <w:pPr>
        <w:spacing w:afterLines="60" w:after="144"/>
        <w:rPr>
          <w:rFonts w:ascii="Arial" w:hAnsi="Arial" w:cs="Arial"/>
          <w:sz w:val="20"/>
          <w:szCs w:val="20"/>
        </w:rPr>
      </w:pPr>
    </w:p>
    <w:p w14:paraId="6C47ACB9"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Terminology</w:t>
      </w:r>
    </w:p>
    <w:p w14:paraId="14BA2215"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In discussions within the team we have shifted terminology for this round from TGNC (transgender and gender non-conforming) to TGD (transgender and gender diverse).</w:t>
      </w:r>
    </w:p>
    <w:p w14:paraId="43BA3BCC"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To what extent do you agree changing the terminology from TGNC (transgender and gender non-conforming) to TGD (transgender and gender diverse): [options: Strongly disagree - Disagree – Neutral - Agree - Strongly Agree</w:t>
      </w:r>
    </w:p>
    <w:p w14:paraId="5A94D57A"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 xml:space="preserve"> </w:t>
      </w:r>
    </w:p>
    <w:p w14:paraId="1ACE9764"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lastRenderedPageBreak/>
        <w:t>Your comments on the change in terminology:</w:t>
      </w:r>
    </w:p>
    <w:p w14:paraId="0292AAA7" w14:textId="77777777" w:rsidR="00EF10D8" w:rsidRPr="00AF440D" w:rsidRDefault="00EF10D8" w:rsidP="00EF10D8">
      <w:pPr>
        <w:spacing w:afterLines="60" w:after="144"/>
        <w:rPr>
          <w:rFonts w:ascii="Arial" w:hAnsi="Arial" w:cs="Arial"/>
          <w:sz w:val="20"/>
          <w:szCs w:val="20"/>
        </w:rPr>
      </w:pPr>
    </w:p>
    <w:p w14:paraId="4FA97B8B"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Core Syllabus</w:t>
      </w:r>
    </w:p>
    <w:p w14:paraId="33F56A27"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In rounds 1 and 2 we identified the following as the core mandatory syllabus for TGD health training in Undergraduate Medical Education:</w:t>
      </w:r>
    </w:p>
    <w:p w14:paraId="68F61ECD"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Personal Reflection</w:t>
      </w:r>
    </w:p>
    <w:p w14:paraId="450886FF"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The ability to identify and address personal biases as related to sex and gender </w:t>
      </w:r>
    </w:p>
    <w:p w14:paraId="732FCD62"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Language &amp; Terminology</w:t>
      </w:r>
    </w:p>
    <w:p w14:paraId="0BE72643"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The ability to use appropriate terminology and basic concepts in the context of providing patient care (Including but not limited to: sex, disorders of sexual differentiation, gender identity, gender dysphoria, gender nonconformity, gender presentation, transgender, non-binary, genderqueer)</w:t>
      </w:r>
    </w:p>
    <w:p w14:paraId="3DB37CFB"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History, Epidemiology, Social Determinants of Health</w:t>
      </w:r>
    </w:p>
    <w:p w14:paraId="29CE7C35"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Sources of gender-related trauma (Including but not limited to: gender dysphoria, pronouns and </w:t>
      </w:r>
      <w:proofErr w:type="spellStart"/>
      <w:r w:rsidRPr="00AF440D">
        <w:rPr>
          <w:rFonts w:ascii="Arial" w:hAnsi="Arial" w:cs="Arial"/>
          <w:sz w:val="20"/>
          <w:szCs w:val="20"/>
        </w:rPr>
        <w:t>misgendering</w:t>
      </w:r>
      <w:proofErr w:type="spellEnd"/>
      <w:r w:rsidRPr="00AF440D">
        <w:rPr>
          <w:rFonts w:ascii="Arial" w:hAnsi="Arial" w:cs="Arial"/>
          <w:sz w:val="20"/>
          <w:szCs w:val="20"/>
        </w:rPr>
        <w:t xml:space="preserve">, </w:t>
      </w:r>
      <w:proofErr w:type="spellStart"/>
      <w:r w:rsidRPr="00AF440D">
        <w:rPr>
          <w:rFonts w:ascii="Arial" w:hAnsi="Arial" w:cs="Arial"/>
          <w:sz w:val="20"/>
          <w:szCs w:val="20"/>
        </w:rPr>
        <w:t>deadnaming</w:t>
      </w:r>
      <w:proofErr w:type="spellEnd"/>
      <w:r w:rsidRPr="00AF440D">
        <w:rPr>
          <w:rFonts w:ascii="Arial" w:hAnsi="Arial" w:cs="Arial"/>
          <w:sz w:val="20"/>
          <w:szCs w:val="20"/>
        </w:rPr>
        <w:t>, denial of care, stigma, stereotyping, transphobia)</w:t>
      </w:r>
    </w:p>
    <w:p w14:paraId="717FBA9E"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A clear understanding of how negative and traumatic experiences in the medical system impacts health care</w:t>
      </w:r>
    </w:p>
    <w:p w14:paraId="4C273689"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A clear understanding of issues with transgender and gender diverse access to care</w:t>
      </w:r>
    </w:p>
    <w:p w14:paraId="1763F86B"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A clear understanding of transphobia, discrimination, and other social disadvantages related to healthcare for TGD individuals</w:t>
      </w:r>
    </w:p>
    <w:p w14:paraId="713DE1C2"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A clear understanding of the social determinants of health specific to TGD individuals (including but not limited to: economic status, ethnicity/religion, employment, homelessness)</w:t>
      </w:r>
    </w:p>
    <w:p w14:paraId="6E0AB4DA"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Mental Health</w:t>
      </w:r>
    </w:p>
    <w:p w14:paraId="2BC90642"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Social and community supports</w:t>
      </w:r>
    </w:p>
    <w:p w14:paraId="5A01DD94"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Concurrent mental health disorders and suicidality</w:t>
      </w:r>
    </w:p>
    <w:p w14:paraId="149E5B2C"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Hormones</w:t>
      </w:r>
    </w:p>
    <w:p w14:paraId="1A1C69C0"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Risks, side effects and contraindications to hormone therapy</w:t>
      </w:r>
    </w:p>
    <w:p w14:paraId="4F119828"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Physical effects of hormone therapy</w:t>
      </w:r>
    </w:p>
    <w:p w14:paraId="71071337"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Criteria for initiating hormone therapy</w:t>
      </w:r>
    </w:p>
    <w:p w14:paraId="37791945"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Surgery</w:t>
      </w:r>
    </w:p>
    <w:p w14:paraId="3BCB424F"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Basic overview of post-surgical anatomy for TGD persons (Including but not limited to: </w:t>
      </w:r>
      <w:proofErr w:type="spellStart"/>
      <w:r w:rsidRPr="00AF440D">
        <w:rPr>
          <w:rFonts w:ascii="Arial" w:hAnsi="Arial" w:cs="Arial"/>
          <w:sz w:val="20"/>
          <w:szCs w:val="20"/>
        </w:rPr>
        <w:t>Vaginoplasty</w:t>
      </w:r>
      <w:proofErr w:type="spellEnd"/>
      <w:r w:rsidRPr="00AF440D">
        <w:rPr>
          <w:rFonts w:ascii="Arial" w:hAnsi="Arial" w:cs="Arial"/>
          <w:sz w:val="20"/>
          <w:szCs w:val="20"/>
        </w:rPr>
        <w:t xml:space="preserve">, Metoidioplasty, </w:t>
      </w:r>
      <w:proofErr w:type="spellStart"/>
      <w:r w:rsidRPr="00AF440D">
        <w:rPr>
          <w:rFonts w:ascii="Arial" w:hAnsi="Arial" w:cs="Arial"/>
          <w:sz w:val="20"/>
          <w:szCs w:val="20"/>
        </w:rPr>
        <w:t>Phalloplasty</w:t>
      </w:r>
      <w:proofErr w:type="spellEnd"/>
      <w:r w:rsidRPr="00AF440D">
        <w:rPr>
          <w:rFonts w:ascii="Arial" w:hAnsi="Arial" w:cs="Arial"/>
          <w:sz w:val="20"/>
          <w:szCs w:val="20"/>
        </w:rPr>
        <w:t>, Chest reconstruction)</w:t>
      </w:r>
    </w:p>
    <w:p w14:paraId="7FBBAD28"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Routine Primary Care</w:t>
      </w:r>
    </w:p>
    <w:p w14:paraId="5DEEDD47"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Role of providers and staff in providing a safe environment</w:t>
      </w:r>
    </w:p>
    <w:p w14:paraId="2FABCF7A"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The role of the family physician in prescribing and maintaining hormone therapy </w:t>
      </w:r>
    </w:p>
    <w:p w14:paraId="6D433743"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Approaches to taking a gender-inclusive history</w:t>
      </w:r>
    </w:p>
    <w:p w14:paraId="46ABEB2B"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Gender affirming physical exam</w:t>
      </w:r>
    </w:p>
    <w:p w14:paraId="4C69A4C4"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Risks of withholding hormone therapy</w:t>
      </w:r>
    </w:p>
    <w:p w14:paraId="0BE2CC5F"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Sexual health</w:t>
      </w:r>
    </w:p>
    <w:p w14:paraId="16C711D6"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lastRenderedPageBreak/>
        <w:t>Cancer screening (Including but not limited to: prostate exam, mammography, pap smear)</w:t>
      </w:r>
    </w:p>
    <w:p w14:paraId="6E03F07E" w14:textId="77777777" w:rsidR="00EF10D8" w:rsidRPr="00AF440D" w:rsidRDefault="00EF10D8" w:rsidP="00EF10D8">
      <w:pPr>
        <w:pStyle w:val="Lijstalinea"/>
        <w:numPr>
          <w:ilvl w:val="0"/>
          <w:numId w:val="32"/>
        </w:numPr>
        <w:spacing w:afterLines="60" w:after="144" w:line="240" w:lineRule="auto"/>
        <w:contextualSpacing w:val="0"/>
        <w:rPr>
          <w:rFonts w:ascii="Arial" w:hAnsi="Arial" w:cs="Arial"/>
          <w:sz w:val="20"/>
          <w:szCs w:val="20"/>
        </w:rPr>
      </w:pPr>
      <w:r w:rsidRPr="00AF440D">
        <w:rPr>
          <w:rFonts w:ascii="Arial" w:hAnsi="Arial" w:cs="Arial"/>
          <w:sz w:val="20"/>
          <w:szCs w:val="20"/>
        </w:rPr>
        <w:t>Contraceptive and reproductive options</w:t>
      </w:r>
    </w:p>
    <w:p w14:paraId="282E02FE" w14:textId="77777777" w:rsidR="00EF10D8" w:rsidRPr="00AF440D" w:rsidRDefault="00EF10D8" w:rsidP="00EF10D8">
      <w:pPr>
        <w:spacing w:afterLines="60" w:after="144"/>
        <w:rPr>
          <w:rFonts w:ascii="Arial" w:hAnsi="Arial" w:cs="Arial"/>
          <w:sz w:val="20"/>
          <w:szCs w:val="20"/>
        </w:rPr>
      </w:pPr>
    </w:p>
    <w:p w14:paraId="08358F70"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To what extent do you agree with this syllabus for TGD health training at the UME level: [options: Strongly disagree – Disagree – Neutral – Agree - Strongly Agree]</w:t>
      </w:r>
    </w:p>
    <w:p w14:paraId="09CC61E8" w14:textId="77777777" w:rsidR="00EF10D8" w:rsidRPr="00AF440D" w:rsidRDefault="00EF10D8" w:rsidP="00EF10D8">
      <w:pPr>
        <w:spacing w:afterLines="60" w:after="144"/>
        <w:rPr>
          <w:rFonts w:ascii="Arial" w:hAnsi="Arial" w:cs="Arial"/>
          <w:sz w:val="20"/>
          <w:szCs w:val="20"/>
        </w:rPr>
      </w:pPr>
    </w:p>
    <w:p w14:paraId="00D4A6D3"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Your comments on the syllabus – note: if you do have concerns (neutral/disagree ratings), please ensure that your concerns are clearly articulated here:</w:t>
      </w:r>
    </w:p>
    <w:p w14:paraId="7910A033" w14:textId="77777777" w:rsidR="00EF10D8" w:rsidRPr="00AF440D" w:rsidRDefault="00EF10D8" w:rsidP="00EF10D8">
      <w:pPr>
        <w:spacing w:afterLines="60" w:after="144"/>
        <w:rPr>
          <w:rFonts w:ascii="Arial" w:hAnsi="Arial" w:cs="Arial"/>
          <w:sz w:val="20"/>
          <w:szCs w:val="20"/>
        </w:rPr>
      </w:pPr>
    </w:p>
    <w:p w14:paraId="0DDEC389"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 xml:space="preserve">Core Values </w:t>
      </w:r>
    </w:p>
    <w:p w14:paraId="3600194A"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In rounds 1 and 2 we identified the following core values for TGD health training in Undergraduate Medical Education:</w:t>
      </w:r>
    </w:p>
    <w:p w14:paraId="3CD70067" w14:textId="77777777" w:rsidR="00EF10D8" w:rsidRPr="00AF440D" w:rsidRDefault="00EF10D8" w:rsidP="00EF10D8">
      <w:pPr>
        <w:pStyle w:val="Lijstalinea"/>
        <w:numPr>
          <w:ilvl w:val="0"/>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Generalist scope</w:t>
      </w:r>
    </w:p>
    <w:p w14:paraId="1F374510" w14:textId="77777777" w:rsidR="00EF10D8" w:rsidRPr="00AF440D" w:rsidRDefault="00EF10D8" w:rsidP="00EF10D8">
      <w:pPr>
        <w:pStyle w:val="Lijstalinea"/>
        <w:numPr>
          <w:ilvl w:val="1"/>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TGD training should be focused on primary care and broad skills that are applicable to all specialties</w:t>
      </w:r>
    </w:p>
    <w:p w14:paraId="266141E4" w14:textId="77777777" w:rsidR="00EF10D8" w:rsidRPr="00AF440D" w:rsidRDefault="00EF10D8" w:rsidP="00EF10D8">
      <w:pPr>
        <w:pStyle w:val="Lijstalinea"/>
        <w:numPr>
          <w:ilvl w:val="1"/>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TGD training should emphasize </w:t>
      </w:r>
      <w:proofErr w:type="spellStart"/>
      <w:r w:rsidRPr="00AF440D">
        <w:rPr>
          <w:rFonts w:ascii="Arial" w:hAnsi="Arial" w:cs="Arial"/>
          <w:sz w:val="20"/>
          <w:szCs w:val="20"/>
        </w:rPr>
        <w:t>CanMEDs</w:t>
      </w:r>
      <w:proofErr w:type="spellEnd"/>
      <w:r w:rsidRPr="00AF440D">
        <w:rPr>
          <w:rFonts w:ascii="Arial" w:hAnsi="Arial" w:cs="Arial"/>
          <w:sz w:val="20"/>
          <w:szCs w:val="20"/>
        </w:rPr>
        <w:t xml:space="preserve"> Roles: Advocate and Communicator </w:t>
      </w:r>
    </w:p>
    <w:p w14:paraId="7C29A1D0" w14:textId="77777777" w:rsidR="00EF10D8" w:rsidRPr="00AF440D" w:rsidRDefault="00EF10D8" w:rsidP="00EF10D8">
      <w:pPr>
        <w:pStyle w:val="Lijstalinea"/>
        <w:numPr>
          <w:ilvl w:val="1"/>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TGD training should emphasize relationship building and patient experience</w:t>
      </w:r>
    </w:p>
    <w:p w14:paraId="6431AE88" w14:textId="77777777" w:rsidR="00EF10D8" w:rsidRPr="00AF440D" w:rsidRDefault="00EF10D8" w:rsidP="00EF10D8">
      <w:pPr>
        <w:pStyle w:val="Lijstalinea"/>
        <w:numPr>
          <w:ilvl w:val="0"/>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Mandatory</w:t>
      </w:r>
    </w:p>
    <w:p w14:paraId="61018EEA" w14:textId="77777777" w:rsidR="00EF10D8" w:rsidRPr="00AF440D" w:rsidRDefault="00EF10D8" w:rsidP="00EF10D8">
      <w:pPr>
        <w:pStyle w:val="Lijstalinea"/>
        <w:numPr>
          <w:ilvl w:val="1"/>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All students enrolled in undergraduate medical programs across Canada should receive training in caring for TGD patients.</w:t>
      </w:r>
    </w:p>
    <w:p w14:paraId="13D49C59" w14:textId="77777777" w:rsidR="00EF10D8" w:rsidRPr="00AF440D" w:rsidRDefault="00EF10D8" w:rsidP="00EF10D8">
      <w:pPr>
        <w:pStyle w:val="Lijstalinea"/>
        <w:numPr>
          <w:ilvl w:val="1"/>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TGD training should be a mandatory component of medical school curriculum.</w:t>
      </w:r>
    </w:p>
    <w:p w14:paraId="5E7EC70A" w14:textId="77777777" w:rsidR="00EF10D8" w:rsidRPr="00AF440D" w:rsidRDefault="00EF10D8" w:rsidP="00EF10D8">
      <w:pPr>
        <w:pStyle w:val="Lijstalinea"/>
        <w:numPr>
          <w:ilvl w:val="1"/>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There is no acceptable option for students’ conscientious objection to participating in TGD training unless a student who identifies as TGD has concerns about their personal wellness or safety.  </w:t>
      </w:r>
    </w:p>
    <w:p w14:paraId="40A6BA20" w14:textId="77777777" w:rsidR="00EF10D8" w:rsidRPr="00AF440D" w:rsidRDefault="00EF10D8" w:rsidP="00EF10D8">
      <w:pPr>
        <w:pStyle w:val="Lijstalinea"/>
        <w:numPr>
          <w:ilvl w:val="0"/>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Safety</w:t>
      </w:r>
    </w:p>
    <w:p w14:paraId="573F4241" w14:textId="77777777" w:rsidR="00EF10D8" w:rsidRPr="00AF440D" w:rsidRDefault="00EF10D8" w:rsidP="00EF10D8">
      <w:pPr>
        <w:pStyle w:val="Lijstalinea"/>
        <w:numPr>
          <w:ilvl w:val="1"/>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UME should make an explicit statement that students should feel safe to practice TGD terminology and interviewing techniques in TGD learning sessions</w:t>
      </w:r>
    </w:p>
    <w:p w14:paraId="30DD8F48" w14:textId="77777777" w:rsidR="00EF10D8" w:rsidRPr="00AF440D" w:rsidRDefault="00EF10D8" w:rsidP="00EF10D8">
      <w:pPr>
        <w:pStyle w:val="Lijstalinea"/>
        <w:numPr>
          <w:ilvl w:val="1"/>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Gender neutral bathrooms should be available</w:t>
      </w:r>
    </w:p>
    <w:p w14:paraId="3ECE8490" w14:textId="77777777" w:rsidR="00EF10D8" w:rsidRPr="00AF440D" w:rsidRDefault="00EF10D8" w:rsidP="00EF10D8">
      <w:pPr>
        <w:pStyle w:val="Lijstalinea"/>
        <w:numPr>
          <w:ilvl w:val="0"/>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Inclusivity</w:t>
      </w:r>
    </w:p>
    <w:p w14:paraId="13C06620" w14:textId="77777777" w:rsidR="00EF10D8" w:rsidRPr="00AF440D" w:rsidRDefault="00EF10D8" w:rsidP="00EF10D8">
      <w:pPr>
        <w:pStyle w:val="Lijstalinea"/>
        <w:numPr>
          <w:ilvl w:val="1"/>
          <w:numId w:val="33"/>
        </w:numPr>
        <w:spacing w:afterLines="60" w:after="144" w:line="240" w:lineRule="auto"/>
        <w:contextualSpacing w:val="0"/>
        <w:rPr>
          <w:rFonts w:ascii="Arial" w:hAnsi="Arial" w:cs="Arial"/>
          <w:sz w:val="20"/>
          <w:szCs w:val="20"/>
        </w:rPr>
      </w:pPr>
      <w:r w:rsidRPr="00AF440D">
        <w:rPr>
          <w:rFonts w:ascii="Arial" w:hAnsi="Arial" w:cs="Arial"/>
          <w:sz w:val="20"/>
          <w:szCs w:val="20"/>
        </w:rPr>
        <w:t xml:space="preserve">TGD learning activities in UME should include TGD identified people </w:t>
      </w:r>
    </w:p>
    <w:p w14:paraId="571A9CFC" w14:textId="77777777" w:rsidR="00EF10D8" w:rsidRPr="00AF440D" w:rsidRDefault="00EF10D8" w:rsidP="00EF10D8">
      <w:pPr>
        <w:spacing w:afterLines="60" w:after="144"/>
        <w:rPr>
          <w:rFonts w:ascii="Arial" w:hAnsi="Arial" w:cs="Arial"/>
          <w:sz w:val="20"/>
          <w:szCs w:val="20"/>
        </w:rPr>
      </w:pPr>
    </w:p>
    <w:p w14:paraId="330554B4"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At the UME level, to what extent do you agree with these core values for TGD health training at the UME level? [options: Strongly disagree – Disagree – Neutral – Agree - Strongly Agree]</w:t>
      </w:r>
    </w:p>
    <w:p w14:paraId="6E8F391B"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 xml:space="preserve"> </w:t>
      </w:r>
    </w:p>
    <w:p w14:paraId="078EB819"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Your comments on the core values – note: if you do have concerns (neutral/disagree ratings), please ensure that your concerns are clearly articulated here:</w:t>
      </w:r>
    </w:p>
    <w:p w14:paraId="09395128" w14:textId="77777777" w:rsidR="00EF10D8" w:rsidRPr="00AF440D" w:rsidRDefault="00EF10D8" w:rsidP="00EF10D8">
      <w:pPr>
        <w:spacing w:afterLines="60" w:after="144"/>
        <w:rPr>
          <w:rFonts w:ascii="Arial" w:hAnsi="Arial" w:cs="Arial"/>
          <w:sz w:val="20"/>
          <w:szCs w:val="20"/>
        </w:rPr>
      </w:pPr>
    </w:p>
    <w:p w14:paraId="76EB163D"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Core Curriculum</w:t>
      </w:r>
    </w:p>
    <w:p w14:paraId="33C11088"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lastRenderedPageBreak/>
        <w:t>Please rate the following statements on faculty involved in TGD health training at the UME level: [options: Strongly disagree – Disagree – Neutral – Agree - Strongly Agree]</w:t>
      </w:r>
    </w:p>
    <w:p w14:paraId="10A3FA51" w14:textId="77777777" w:rsidR="00EF10D8" w:rsidRPr="00AF440D" w:rsidRDefault="00EF10D8" w:rsidP="00EF10D8">
      <w:pPr>
        <w:pStyle w:val="Lijstalinea"/>
        <w:numPr>
          <w:ilvl w:val="0"/>
          <w:numId w:val="34"/>
        </w:numPr>
        <w:spacing w:afterLines="60" w:after="144" w:line="240" w:lineRule="auto"/>
        <w:contextualSpacing w:val="0"/>
        <w:rPr>
          <w:rFonts w:ascii="Arial" w:hAnsi="Arial" w:cs="Arial"/>
          <w:sz w:val="20"/>
          <w:szCs w:val="20"/>
        </w:rPr>
      </w:pPr>
      <w:r w:rsidRPr="00AF440D">
        <w:rPr>
          <w:rFonts w:ascii="Arial" w:hAnsi="Arial" w:cs="Arial"/>
          <w:sz w:val="20"/>
          <w:szCs w:val="20"/>
        </w:rPr>
        <w:t>TGD content should be taught by physicians with specialized knowledge in TGD health care</w:t>
      </w:r>
    </w:p>
    <w:p w14:paraId="7DC69EC8" w14:textId="77777777" w:rsidR="00EF10D8" w:rsidRPr="00AF440D" w:rsidRDefault="00EF10D8" w:rsidP="00EF10D8">
      <w:pPr>
        <w:pStyle w:val="Lijstalinea"/>
        <w:numPr>
          <w:ilvl w:val="0"/>
          <w:numId w:val="34"/>
        </w:numPr>
        <w:spacing w:afterLines="60" w:after="144" w:line="240" w:lineRule="auto"/>
        <w:contextualSpacing w:val="0"/>
        <w:rPr>
          <w:rFonts w:ascii="Arial" w:hAnsi="Arial" w:cs="Arial"/>
          <w:sz w:val="20"/>
          <w:szCs w:val="20"/>
        </w:rPr>
      </w:pPr>
      <w:r w:rsidRPr="00AF440D">
        <w:rPr>
          <w:rFonts w:ascii="Arial" w:hAnsi="Arial" w:cs="Arial"/>
          <w:sz w:val="20"/>
          <w:szCs w:val="20"/>
        </w:rPr>
        <w:t>TGD content should be taught by allied health care professionals with specialized knowledge in TGD health care</w:t>
      </w:r>
    </w:p>
    <w:p w14:paraId="47C6690C" w14:textId="77777777" w:rsidR="00EF10D8" w:rsidRPr="00AF440D" w:rsidRDefault="00EF10D8" w:rsidP="00EF10D8">
      <w:pPr>
        <w:pStyle w:val="Lijstalinea"/>
        <w:numPr>
          <w:ilvl w:val="0"/>
          <w:numId w:val="34"/>
        </w:numPr>
        <w:spacing w:afterLines="60" w:after="144" w:line="240" w:lineRule="auto"/>
        <w:contextualSpacing w:val="0"/>
        <w:rPr>
          <w:rFonts w:ascii="Arial" w:hAnsi="Arial" w:cs="Arial"/>
          <w:sz w:val="20"/>
          <w:szCs w:val="20"/>
        </w:rPr>
      </w:pPr>
      <w:r w:rsidRPr="00AF440D">
        <w:rPr>
          <w:rFonts w:ascii="Arial" w:hAnsi="Arial" w:cs="Arial"/>
          <w:sz w:val="20"/>
          <w:szCs w:val="20"/>
        </w:rPr>
        <w:t>TGD content should be taught by people who identify as TGD and are able and willing to teach medical students</w:t>
      </w:r>
    </w:p>
    <w:p w14:paraId="21B8DE15" w14:textId="77777777" w:rsidR="00EF10D8" w:rsidRPr="00AF440D" w:rsidRDefault="00EF10D8" w:rsidP="00EF10D8">
      <w:pPr>
        <w:spacing w:afterLines="60" w:after="144"/>
        <w:rPr>
          <w:rFonts w:ascii="Arial" w:hAnsi="Arial" w:cs="Arial"/>
          <w:sz w:val="20"/>
          <w:szCs w:val="20"/>
        </w:rPr>
      </w:pPr>
    </w:p>
    <w:p w14:paraId="4C2C949C"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Comments on these statements – note: if you do have concerns (neutral/disagree ratings), please ensure that your concerns are clearly articulated here:</w:t>
      </w:r>
    </w:p>
    <w:p w14:paraId="654DFB5D" w14:textId="77777777" w:rsidR="00EF10D8" w:rsidRPr="00AF440D" w:rsidRDefault="00EF10D8" w:rsidP="00EF10D8">
      <w:pPr>
        <w:spacing w:afterLines="60" w:after="144"/>
        <w:rPr>
          <w:rFonts w:ascii="Arial" w:hAnsi="Arial" w:cs="Arial"/>
          <w:sz w:val="20"/>
          <w:szCs w:val="20"/>
        </w:rPr>
      </w:pPr>
    </w:p>
    <w:p w14:paraId="7BB0FEB1"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the following statements on the time allocated to TGD health training: [options: Strongly disagree – Disagree – Neutral – Agree - Strongly Agree]</w:t>
      </w:r>
    </w:p>
    <w:p w14:paraId="5027B952" w14:textId="77777777" w:rsidR="00EF10D8" w:rsidRPr="00AF440D" w:rsidRDefault="00EF10D8" w:rsidP="00EF10D8">
      <w:pPr>
        <w:pStyle w:val="Lijstalinea"/>
        <w:numPr>
          <w:ilvl w:val="0"/>
          <w:numId w:val="35"/>
        </w:numPr>
        <w:spacing w:afterLines="60" w:after="144" w:line="240" w:lineRule="auto"/>
        <w:contextualSpacing w:val="0"/>
        <w:rPr>
          <w:rFonts w:ascii="Arial" w:hAnsi="Arial" w:cs="Arial"/>
          <w:sz w:val="20"/>
          <w:szCs w:val="20"/>
        </w:rPr>
      </w:pPr>
      <w:r w:rsidRPr="00AF440D">
        <w:rPr>
          <w:rFonts w:ascii="Arial" w:hAnsi="Arial" w:cs="Arial"/>
          <w:sz w:val="20"/>
          <w:szCs w:val="20"/>
        </w:rPr>
        <w:t>Number of hours of recommended teaching time must be balanced with all other UME curriculum demands</w:t>
      </w:r>
    </w:p>
    <w:p w14:paraId="1EFD63B8" w14:textId="77777777" w:rsidR="00EF10D8" w:rsidRPr="00AF440D" w:rsidRDefault="00EF10D8" w:rsidP="00EF10D8">
      <w:pPr>
        <w:pStyle w:val="Lijstalinea"/>
        <w:numPr>
          <w:ilvl w:val="0"/>
          <w:numId w:val="35"/>
        </w:numPr>
        <w:spacing w:afterLines="60" w:after="144" w:line="240" w:lineRule="auto"/>
        <w:contextualSpacing w:val="0"/>
        <w:rPr>
          <w:rFonts w:ascii="Arial" w:hAnsi="Arial" w:cs="Arial"/>
          <w:sz w:val="20"/>
          <w:szCs w:val="20"/>
        </w:rPr>
      </w:pPr>
      <w:r w:rsidRPr="00AF440D">
        <w:rPr>
          <w:rFonts w:ascii="Arial" w:hAnsi="Arial" w:cs="Arial"/>
          <w:sz w:val="20"/>
          <w:szCs w:val="20"/>
        </w:rPr>
        <w:t>There should be a minimum acceptable number of ho</w:t>
      </w:r>
      <w:bookmarkStart w:id="0" w:name="_GoBack"/>
      <w:bookmarkEnd w:id="0"/>
      <w:r w:rsidRPr="00AF440D">
        <w:rPr>
          <w:rFonts w:ascii="Arial" w:hAnsi="Arial" w:cs="Arial"/>
          <w:sz w:val="20"/>
          <w:szCs w:val="20"/>
        </w:rPr>
        <w:t>urs allocated to TGD training</w:t>
      </w:r>
    </w:p>
    <w:p w14:paraId="79E75704" w14:textId="77777777" w:rsidR="00EF10D8" w:rsidRPr="00AF440D" w:rsidRDefault="00EF10D8" w:rsidP="00EF10D8">
      <w:pPr>
        <w:pStyle w:val="Lijstalinea"/>
        <w:numPr>
          <w:ilvl w:val="0"/>
          <w:numId w:val="35"/>
        </w:numPr>
        <w:spacing w:afterLines="60" w:after="144" w:line="240" w:lineRule="auto"/>
        <w:contextualSpacing w:val="0"/>
        <w:rPr>
          <w:rFonts w:ascii="Arial" w:hAnsi="Arial" w:cs="Arial"/>
          <w:sz w:val="20"/>
          <w:szCs w:val="20"/>
        </w:rPr>
      </w:pPr>
      <w:r w:rsidRPr="00AF440D">
        <w:rPr>
          <w:rFonts w:ascii="Arial" w:hAnsi="Arial" w:cs="Arial"/>
          <w:sz w:val="20"/>
          <w:szCs w:val="20"/>
        </w:rPr>
        <w:t>TGD content and experiences should be woven into general UME curriculum</w:t>
      </w:r>
    </w:p>
    <w:p w14:paraId="3B02381A" w14:textId="77777777" w:rsidR="00EF10D8" w:rsidRPr="00AF440D" w:rsidRDefault="00EF10D8" w:rsidP="00EF10D8">
      <w:pPr>
        <w:pStyle w:val="Lijstalinea"/>
        <w:numPr>
          <w:ilvl w:val="0"/>
          <w:numId w:val="35"/>
        </w:numPr>
        <w:spacing w:afterLines="60" w:after="144" w:line="240" w:lineRule="auto"/>
        <w:contextualSpacing w:val="0"/>
        <w:rPr>
          <w:rFonts w:ascii="Arial" w:hAnsi="Arial" w:cs="Arial"/>
          <w:sz w:val="20"/>
          <w:szCs w:val="20"/>
        </w:rPr>
      </w:pPr>
      <w:r w:rsidRPr="00AF440D">
        <w:rPr>
          <w:rFonts w:ascii="Arial" w:hAnsi="Arial" w:cs="Arial"/>
          <w:sz w:val="20"/>
          <w:szCs w:val="20"/>
        </w:rPr>
        <w:t>TGD content and experiences should be delivered in targeted TGD sessions</w:t>
      </w:r>
    </w:p>
    <w:p w14:paraId="5F2F1CD4"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2D71D39F"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Comments on these statements – note: if you do have concerns (neutral/disagree ratings), please ensure that your concerns are clearly articulated here:</w:t>
      </w:r>
    </w:p>
    <w:p w14:paraId="02D0561A" w14:textId="77777777" w:rsidR="00EF10D8" w:rsidRPr="00AF440D" w:rsidRDefault="00EF10D8" w:rsidP="00EF10D8">
      <w:pPr>
        <w:spacing w:afterLines="60" w:after="144"/>
        <w:rPr>
          <w:rFonts w:ascii="Arial" w:hAnsi="Arial" w:cs="Arial"/>
          <w:sz w:val="20"/>
          <w:szCs w:val="20"/>
        </w:rPr>
      </w:pPr>
    </w:p>
    <w:p w14:paraId="0D83E709"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the following statements on instructional approaches in TGD health training at the UME level: [options: Strongly disagree – Disagree – Neutral – Agree - Strongly Agree]</w:t>
      </w:r>
    </w:p>
    <w:p w14:paraId="1842F19B" w14:textId="77777777" w:rsidR="00EF10D8" w:rsidRPr="00AF440D" w:rsidRDefault="00EF10D8" w:rsidP="00EF10D8">
      <w:pPr>
        <w:pStyle w:val="Lijstalinea"/>
        <w:numPr>
          <w:ilvl w:val="0"/>
          <w:numId w:val="36"/>
        </w:numPr>
        <w:spacing w:afterLines="60" w:after="144" w:line="240" w:lineRule="auto"/>
        <w:contextualSpacing w:val="0"/>
        <w:rPr>
          <w:rFonts w:ascii="Arial" w:hAnsi="Arial" w:cs="Arial"/>
          <w:sz w:val="20"/>
          <w:szCs w:val="20"/>
        </w:rPr>
      </w:pPr>
      <w:r w:rsidRPr="00AF440D">
        <w:rPr>
          <w:rFonts w:ascii="Arial" w:hAnsi="Arial" w:cs="Arial"/>
          <w:sz w:val="20"/>
          <w:szCs w:val="20"/>
        </w:rPr>
        <w:t>Smaller interactive group teaching/learning environments and face-to-face interactions are needed to teach TGD material properly.</w:t>
      </w:r>
    </w:p>
    <w:p w14:paraId="5B3B8DAA" w14:textId="77777777" w:rsidR="00EF10D8" w:rsidRPr="00AF440D" w:rsidRDefault="00EF10D8" w:rsidP="00EF10D8">
      <w:pPr>
        <w:pStyle w:val="Lijstalinea"/>
        <w:numPr>
          <w:ilvl w:val="0"/>
          <w:numId w:val="36"/>
        </w:numPr>
        <w:spacing w:afterLines="60" w:after="144" w:line="240" w:lineRule="auto"/>
        <w:contextualSpacing w:val="0"/>
        <w:rPr>
          <w:rFonts w:ascii="Arial" w:hAnsi="Arial" w:cs="Arial"/>
          <w:sz w:val="20"/>
          <w:szCs w:val="20"/>
        </w:rPr>
      </w:pPr>
      <w:r w:rsidRPr="00AF440D">
        <w:rPr>
          <w:rFonts w:ascii="Arial" w:hAnsi="Arial" w:cs="Arial"/>
          <w:sz w:val="20"/>
          <w:szCs w:val="20"/>
        </w:rPr>
        <w:t>Clinical exposure to TGD patients in clerkship should be mandatory.</w:t>
      </w:r>
    </w:p>
    <w:p w14:paraId="16B6A21B" w14:textId="77777777" w:rsidR="00EF10D8" w:rsidRPr="00AF440D" w:rsidRDefault="00EF10D8" w:rsidP="00EF10D8">
      <w:pPr>
        <w:pStyle w:val="Lijstalinea"/>
        <w:numPr>
          <w:ilvl w:val="0"/>
          <w:numId w:val="36"/>
        </w:numPr>
        <w:spacing w:afterLines="60" w:after="144" w:line="240" w:lineRule="auto"/>
        <w:contextualSpacing w:val="0"/>
        <w:rPr>
          <w:rFonts w:ascii="Arial" w:hAnsi="Arial" w:cs="Arial"/>
          <w:sz w:val="20"/>
          <w:szCs w:val="20"/>
        </w:rPr>
      </w:pPr>
      <w:r w:rsidRPr="00AF440D">
        <w:rPr>
          <w:rFonts w:ascii="Arial" w:hAnsi="Arial" w:cs="Arial"/>
          <w:sz w:val="20"/>
          <w:szCs w:val="20"/>
        </w:rPr>
        <w:t>TGD patients should be involved in TGD training but only if their safety is a top priority for all concerned.</w:t>
      </w:r>
    </w:p>
    <w:p w14:paraId="77759622"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750D9C9F"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Comments on these statements – note: if you do have concerns (neutral/disagree ratings), please ensure that your concerns are clearly articulated here:</w:t>
      </w:r>
    </w:p>
    <w:p w14:paraId="263E6CC9" w14:textId="77777777" w:rsidR="00EF10D8" w:rsidRPr="00AF440D" w:rsidRDefault="00EF10D8" w:rsidP="00EF10D8">
      <w:pPr>
        <w:spacing w:afterLines="60" w:after="144"/>
        <w:rPr>
          <w:rFonts w:ascii="Arial" w:hAnsi="Arial" w:cs="Arial"/>
          <w:sz w:val="20"/>
          <w:szCs w:val="20"/>
        </w:rPr>
      </w:pPr>
    </w:p>
    <w:p w14:paraId="43E01996"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Please rate the following statements on evaluation of UG students in TGD health training at the UME level: [options: Strongly disagree – Disagree – Neutral – Agree - Strongly Agree]</w:t>
      </w:r>
    </w:p>
    <w:p w14:paraId="07425CAC" w14:textId="77777777" w:rsidR="00EF10D8" w:rsidRPr="00AF440D" w:rsidRDefault="00EF10D8" w:rsidP="00EF10D8">
      <w:pPr>
        <w:pStyle w:val="Lijstalinea"/>
        <w:numPr>
          <w:ilvl w:val="0"/>
          <w:numId w:val="37"/>
        </w:numPr>
        <w:spacing w:afterLines="60" w:after="144" w:line="240" w:lineRule="auto"/>
        <w:contextualSpacing w:val="0"/>
        <w:rPr>
          <w:rFonts w:ascii="Arial" w:hAnsi="Arial" w:cs="Arial"/>
          <w:sz w:val="20"/>
          <w:szCs w:val="20"/>
        </w:rPr>
      </w:pPr>
      <w:r w:rsidRPr="00AF440D">
        <w:rPr>
          <w:rFonts w:ascii="Arial" w:hAnsi="Arial" w:cs="Arial"/>
          <w:sz w:val="20"/>
          <w:szCs w:val="20"/>
        </w:rPr>
        <w:t>TGD learning sessions should be formative in order to promote learner safety</w:t>
      </w:r>
    </w:p>
    <w:p w14:paraId="17E9E969" w14:textId="77777777" w:rsidR="00EF10D8" w:rsidRPr="00AF440D" w:rsidRDefault="00EF10D8" w:rsidP="00EF10D8">
      <w:pPr>
        <w:pStyle w:val="Lijstalinea"/>
        <w:numPr>
          <w:ilvl w:val="0"/>
          <w:numId w:val="37"/>
        </w:numPr>
        <w:spacing w:afterLines="60" w:after="144" w:line="240" w:lineRule="auto"/>
        <w:contextualSpacing w:val="0"/>
        <w:rPr>
          <w:rFonts w:ascii="Arial" w:hAnsi="Arial" w:cs="Arial"/>
          <w:sz w:val="20"/>
          <w:szCs w:val="20"/>
        </w:rPr>
      </w:pPr>
      <w:r w:rsidRPr="00AF440D">
        <w:rPr>
          <w:rFonts w:ascii="Arial" w:hAnsi="Arial" w:cs="Arial"/>
          <w:sz w:val="20"/>
          <w:szCs w:val="20"/>
        </w:rPr>
        <w:t>TGD learning sessions should include a component on evaluating student professionalism and ethics</w:t>
      </w:r>
    </w:p>
    <w:p w14:paraId="03AC1A18" w14:textId="77777777" w:rsidR="00EF10D8" w:rsidRPr="00AF440D" w:rsidRDefault="00EF10D8" w:rsidP="00EF10D8">
      <w:pPr>
        <w:pStyle w:val="Lijstalinea"/>
        <w:numPr>
          <w:ilvl w:val="0"/>
          <w:numId w:val="37"/>
        </w:numPr>
        <w:spacing w:afterLines="60" w:after="144" w:line="240" w:lineRule="auto"/>
        <w:contextualSpacing w:val="0"/>
        <w:rPr>
          <w:rFonts w:ascii="Arial" w:hAnsi="Arial" w:cs="Arial"/>
          <w:sz w:val="20"/>
          <w:szCs w:val="20"/>
        </w:rPr>
      </w:pPr>
      <w:r w:rsidRPr="00AF440D">
        <w:rPr>
          <w:rFonts w:ascii="Arial" w:hAnsi="Arial" w:cs="Arial"/>
          <w:sz w:val="20"/>
          <w:szCs w:val="20"/>
        </w:rPr>
        <w:t>Medical knowledge on TGD topics should be examined in paper-based examinations</w:t>
      </w:r>
    </w:p>
    <w:p w14:paraId="7C71BFFD" w14:textId="77777777" w:rsidR="00EF10D8" w:rsidRPr="00AF440D" w:rsidRDefault="00EF10D8" w:rsidP="00EF10D8">
      <w:pPr>
        <w:pStyle w:val="Lijstalinea"/>
        <w:numPr>
          <w:ilvl w:val="0"/>
          <w:numId w:val="37"/>
        </w:numPr>
        <w:spacing w:afterLines="60" w:after="144" w:line="240" w:lineRule="auto"/>
        <w:contextualSpacing w:val="0"/>
        <w:rPr>
          <w:rFonts w:ascii="Arial" w:hAnsi="Arial" w:cs="Arial"/>
          <w:sz w:val="20"/>
          <w:szCs w:val="20"/>
        </w:rPr>
      </w:pPr>
      <w:r w:rsidRPr="00AF440D">
        <w:rPr>
          <w:rFonts w:ascii="Arial" w:hAnsi="Arial" w:cs="Arial"/>
          <w:sz w:val="20"/>
          <w:szCs w:val="20"/>
        </w:rPr>
        <w:t>OSCE examinations should be used for evaluating TGD knowledge and skills</w:t>
      </w:r>
    </w:p>
    <w:p w14:paraId="32DF52BC" w14:textId="77777777" w:rsidR="00EF10D8" w:rsidRPr="00AF440D" w:rsidRDefault="00EF10D8" w:rsidP="00EF10D8">
      <w:pPr>
        <w:pStyle w:val="Lijstalinea"/>
        <w:numPr>
          <w:ilvl w:val="0"/>
          <w:numId w:val="37"/>
        </w:numPr>
        <w:spacing w:afterLines="60" w:after="144" w:line="240" w:lineRule="auto"/>
        <w:contextualSpacing w:val="0"/>
        <w:rPr>
          <w:rFonts w:ascii="Arial" w:hAnsi="Arial" w:cs="Arial"/>
          <w:sz w:val="20"/>
          <w:szCs w:val="20"/>
        </w:rPr>
      </w:pPr>
      <w:r w:rsidRPr="00AF440D">
        <w:rPr>
          <w:rFonts w:ascii="Arial" w:hAnsi="Arial" w:cs="Arial"/>
          <w:sz w:val="20"/>
          <w:szCs w:val="20"/>
        </w:rPr>
        <w:lastRenderedPageBreak/>
        <w:t>Assessments and evaluations of TGD knowledge and skills should be validated by members of the TGD community</w:t>
      </w:r>
    </w:p>
    <w:p w14:paraId="3C75B9A8"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r w:rsidRPr="00AF440D">
        <w:rPr>
          <w:rFonts w:ascii="Arial" w:hAnsi="Arial" w:cs="Arial"/>
          <w:sz w:val="20"/>
          <w:szCs w:val="20"/>
        </w:rPr>
        <w:tab/>
      </w:r>
    </w:p>
    <w:p w14:paraId="0B604730" w14:textId="77777777" w:rsidR="00EF10D8" w:rsidRPr="00AF440D" w:rsidRDefault="00EF10D8" w:rsidP="00EF10D8">
      <w:pPr>
        <w:spacing w:afterLines="60" w:after="144"/>
        <w:rPr>
          <w:rFonts w:ascii="Arial" w:hAnsi="Arial" w:cs="Arial"/>
          <w:sz w:val="20"/>
          <w:szCs w:val="20"/>
        </w:rPr>
      </w:pPr>
      <w:r w:rsidRPr="00AF440D">
        <w:rPr>
          <w:rFonts w:ascii="Arial" w:hAnsi="Arial" w:cs="Arial"/>
          <w:sz w:val="20"/>
          <w:szCs w:val="20"/>
        </w:rPr>
        <w:t>Comments on these statements – note: if you do have concerns (neutral/disagree ratings), please ensure that your concerns are clearly articulated here:</w:t>
      </w:r>
    </w:p>
    <w:p w14:paraId="0797B829" w14:textId="77777777" w:rsidR="00EF10D8" w:rsidRPr="00AF440D" w:rsidRDefault="00EF10D8" w:rsidP="00EF10D8">
      <w:pPr>
        <w:spacing w:afterLines="60" w:after="144"/>
        <w:rPr>
          <w:rFonts w:ascii="Arial" w:hAnsi="Arial" w:cs="Arial"/>
          <w:sz w:val="20"/>
          <w:szCs w:val="20"/>
        </w:rPr>
      </w:pPr>
    </w:p>
    <w:p w14:paraId="6280A774" w14:textId="77777777" w:rsidR="00EF10D8" w:rsidRPr="00AF440D" w:rsidRDefault="00EF10D8" w:rsidP="00EF10D8">
      <w:pPr>
        <w:spacing w:afterLines="60" w:after="144"/>
        <w:rPr>
          <w:rFonts w:ascii="Arial" w:hAnsi="Arial" w:cs="Arial"/>
          <w:i/>
          <w:iCs/>
          <w:sz w:val="20"/>
          <w:szCs w:val="20"/>
        </w:rPr>
      </w:pPr>
      <w:r w:rsidRPr="00AF440D">
        <w:rPr>
          <w:rFonts w:ascii="Arial" w:hAnsi="Arial" w:cs="Arial"/>
          <w:i/>
          <w:iCs/>
          <w:sz w:val="20"/>
          <w:szCs w:val="20"/>
        </w:rPr>
        <w:t>Final comments</w:t>
      </w:r>
    </w:p>
    <w:p w14:paraId="7CA4ED92" w14:textId="77777777" w:rsidR="00EF10D8" w:rsidRPr="00AF440D" w:rsidRDefault="00EF10D8" w:rsidP="00EF10D8">
      <w:pPr>
        <w:spacing w:after="240" w:line="360" w:lineRule="auto"/>
        <w:rPr>
          <w:rFonts w:ascii="Arial" w:hAnsi="Arial"/>
          <w:b/>
          <w:bCs/>
          <w:iCs/>
          <w:sz w:val="20"/>
        </w:rPr>
      </w:pPr>
      <w:r w:rsidRPr="00AF440D">
        <w:rPr>
          <w:rFonts w:ascii="Arial" w:hAnsi="Arial" w:cs="Arial"/>
          <w:sz w:val="20"/>
          <w:szCs w:val="20"/>
        </w:rPr>
        <w:t>Do you have any final comments for the study as a whole?</w:t>
      </w:r>
    </w:p>
    <w:sectPr w:rsidR="00EF10D8" w:rsidRPr="00AF440D" w:rsidSect="00EF10D8">
      <w:foot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30D8B" w14:textId="77777777" w:rsidR="00642B47" w:rsidRDefault="00642B47">
      <w:r>
        <w:separator/>
      </w:r>
    </w:p>
  </w:endnote>
  <w:endnote w:type="continuationSeparator" w:id="0">
    <w:p w14:paraId="1C7F18BB" w14:textId="77777777" w:rsidR="00642B47" w:rsidRDefault="0064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656226510"/>
      <w:docPartObj>
        <w:docPartGallery w:val="Page Numbers (Bottom of Page)"/>
        <w:docPartUnique/>
      </w:docPartObj>
    </w:sdtPr>
    <w:sdtEndPr>
      <w:rPr>
        <w:noProof/>
      </w:rPr>
    </w:sdtEndPr>
    <w:sdtContent>
      <w:p w14:paraId="6E4FD2DD" w14:textId="77777777" w:rsidR="002036E4" w:rsidRPr="00787BCD" w:rsidRDefault="00EF10D8" w:rsidP="00787BCD">
        <w:pPr>
          <w:pStyle w:val="Voettekst"/>
          <w:jc w:val="right"/>
          <w:rPr>
            <w:rFonts w:ascii="Arial" w:hAnsi="Arial" w:cs="Arial"/>
            <w:sz w:val="18"/>
            <w:szCs w:val="18"/>
          </w:rPr>
        </w:pPr>
        <w:r>
          <w:rPr>
            <w:rFonts w:ascii="Arial" w:hAnsi="Arial"/>
            <w:sz w:val="18"/>
            <w:szCs w:val="18"/>
          </w:rPr>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416EAE">
          <w:rPr>
            <w:rFonts w:ascii="Arial" w:eastAsia="Arial" w:hAnsi="Arial" w:cs="Arial"/>
            <w:noProof/>
            <w:sz w:val="18"/>
            <w:szCs w:val="18"/>
          </w:rPr>
          <w:t>16</w:t>
        </w:r>
        <w:r>
          <w:rPr>
            <w:rFonts w:ascii="Arial" w:eastAsia="Arial" w:hAnsi="Arial" w:cs="Arial"/>
            <w:sz w:val="18"/>
            <w:szCs w:val="18"/>
          </w:rPr>
          <w:fldChar w:fldCharType="end"/>
        </w:r>
        <w:r>
          <w:rPr>
            <w:rFonts w:ascii="Arial" w:hAnsi="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sidR="00416EAE">
          <w:rPr>
            <w:rFonts w:ascii="Arial" w:eastAsia="Arial" w:hAnsi="Arial" w:cs="Arial"/>
            <w:noProof/>
            <w:sz w:val="18"/>
            <w:szCs w:val="18"/>
          </w:rPr>
          <w:t>16</w:t>
        </w:r>
        <w:r>
          <w:rPr>
            <w:rFonts w:ascii="Arial" w:eastAsia="Arial" w:hAnsi="Arial" w:cs="Arial"/>
            <w:sz w:val="18"/>
            <w:szCs w:val="18"/>
          </w:rPr>
          <w:fldChar w:fldCharType="end"/>
        </w:r>
      </w:p>
    </w:sdtContent>
  </w:sdt>
  <w:p w14:paraId="07596D49" w14:textId="77777777" w:rsidR="002036E4" w:rsidRPr="00DA6B64" w:rsidRDefault="00642B47">
    <w:pPr>
      <w:pStyle w:val="Voettekst"/>
      <w:jc w:val="right"/>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408BA" w14:textId="77777777" w:rsidR="00642B47" w:rsidRDefault="00642B47">
      <w:r>
        <w:separator/>
      </w:r>
    </w:p>
  </w:footnote>
  <w:footnote w:type="continuationSeparator" w:id="0">
    <w:p w14:paraId="79018A5A" w14:textId="77777777" w:rsidR="00642B47" w:rsidRDefault="00642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C38E5" w14:textId="77777777" w:rsidR="002036E4" w:rsidRPr="00154028" w:rsidRDefault="00EF10D8">
    <w:pPr>
      <w:pStyle w:val="Koptekst"/>
      <w:rPr>
        <w:sz w:val="18"/>
        <w:szCs w:val="18"/>
      </w:rPr>
    </w:pPr>
    <w:r w:rsidRPr="00154028">
      <w:rPr>
        <w:sz w:val="18"/>
        <w:szCs w:val="18"/>
      </w:rPr>
      <w:t>PMED-D-21-00338-R1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551"/>
    <w:multiLevelType w:val="hybridMultilevel"/>
    <w:tmpl w:val="2FF2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2325E"/>
    <w:multiLevelType w:val="hybridMultilevel"/>
    <w:tmpl w:val="125A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F3F56"/>
    <w:multiLevelType w:val="multilevel"/>
    <w:tmpl w:val="33882F16"/>
    <w:lvl w:ilvl="0">
      <w:start w:val="2"/>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AE4E17"/>
    <w:multiLevelType w:val="hybridMultilevel"/>
    <w:tmpl w:val="11C2C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A12A6"/>
    <w:multiLevelType w:val="hybridMultilevel"/>
    <w:tmpl w:val="3BF4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025FC"/>
    <w:multiLevelType w:val="hybridMultilevel"/>
    <w:tmpl w:val="F4C8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509CC"/>
    <w:multiLevelType w:val="hybridMultilevel"/>
    <w:tmpl w:val="0E10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32355A"/>
    <w:multiLevelType w:val="hybridMultilevel"/>
    <w:tmpl w:val="136C61BC"/>
    <w:lvl w:ilvl="0" w:tplc="9E26877E">
      <w:start w:val="1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85E73"/>
    <w:multiLevelType w:val="multilevel"/>
    <w:tmpl w:val="39CE1786"/>
    <w:lvl w:ilvl="0">
      <w:start w:val="2"/>
      <w:numFmt w:val="decimal"/>
      <w:lvlText w:val="%1"/>
      <w:lvlJc w:val="left"/>
      <w:pPr>
        <w:ind w:left="440" w:hanging="440"/>
      </w:pPr>
      <w:rPr>
        <w:rFonts w:hint="default"/>
      </w:rPr>
    </w:lvl>
    <w:lvl w:ilvl="1">
      <w:start w:val="9"/>
      <w:numFmt w:val="decimal"/>
      <w:lvlText w:val="%1.%2"/>
      <w:lvlJc w:val="left"/>
      <w:pPr>
        <w:ind w:left="800" w:hanging="4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91830BB"/>
    <w:multiLevelType w:val="hybridMultilevel"/>
    <w:tmpl w:val="4C7A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2340D2"/>
    <w:multiLevelType w:val="hybridMultilevel"/>
    <w:tmpl w:val="EAC6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A5042"/>
    <w:multiLevelType w:val="hybridMultilevel"/>
    <w:tmpl w:val="4E3A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9328B"/>
    <w:multiLevelType w:val="hybridMultilevel"/>
    <w:tmpl w:val="7D86FD7A"/>
    <w:lvl w:ilvl="0" w:tplc="9E26877E">
      <w:start w:val="1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6576AE"/>
    <w:multiLevelType w:val="hybridMultilevel"/>
    <w:tmpl w:val="7C1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E4950"/>
    <w:multiLevelType w:val="hybridMultilevel"/>
    <w:tmpl w:val="9B72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3E3A34"/>
    <w:multiLevelType w:val="hybridMultilevel"/>
    <w:tmpl w:val="1CA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A26A58"/>
    <w:multiLevelType w:val="hybridMultilevel"/>
    <w:tmpl w:val="767C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AA2F31"/>
    <w:multiLevelType w:val="multilevel"/>
    <w:tmpl w:val="1A0A3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6C4CAD"/>
    <w:multiLevelType w:val="hybridMultilevel"/>
    <w:tmpl w:val="87F8CFF0"/>
    <w:lvl w:ilvl="0" w:tplc="9E26877E">
      <w:start w:val="1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0128A2"/>
    <w:multiLevelType w:val="hybridMultilevel"/>
    <w:tmpl w:val="30AE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1182F"/>
    <w:multiLevelType w:val="hybridMultilevel"/>
    <w:tmpl w:val="E348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B64321"/>
    <w:multiLevelType w:val="hybridMultilevel"/>
    <w:tmpl w:val="111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C723CC"/>
    <w:multiLevelType w:val="multilevel"/>
    <w:tmpl w:val="1A0A3E1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E57619"/>
    <w:multiLevelType w:val="hybridMultilevel"/>
    <w:tmpl w:val="D236F63C"/>
    <w:lvl w:ilvl="0" w:tplc="9E26877E">
      <w:start w:val="15"/>
      <w:numFmt w:val="bullet"/>
      <w:lvlText w:val="-"/>
      <w:lvlJc w:val="left"/>
      <w:pPr>
        <w:ind w:left="4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D2651"/>
    <w:multiLevelType w:val="hybridMultilevel"/>
    <w:tmpl w:val="3606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B032E3"/>
    <w:multiLevelType w:val="multilevel"/>
    <w:tmpl w:val="CD9090B0"/>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AAC3223"/>
    <w:multiLevelType w:val="hybridMultilevel"/>
    <w:tmpl w:val="5BD8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497391"/>
    <w:multiLevelType w:val="hybridMultilevel"/>
    <w:tmpl w:val="BAF4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DE161E"/>
    <w:multiLevelType w:val="hybridMultilevel"/>
    <w:tmpl w:val="82FC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EB0B04"/>
    <w:multiLevelType w:val="hybridMultilevel"/>
    <w:tmpl w:val="8A8C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D7D9B"/>
    <w:multiLevelType w:val="hybridMultilevel"/>
    <w:tmpl w:val="EE2A7A36"/>
    <w:lvl w:ilvl="0" w:tplc="9E26877E">
      <w:start w:val="1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7D65AB"/>
    <w:multiLevelType w:val="hybridMultilevel"/>
    <w:tmpl w:val="3448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20433D"/>
    <w:multiLevelType w:val="hybridMultilevel"/>
    <w:tmpl w:val="728A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AC3D80"/>
    <w:multiLevelType w:val="hybridMultilevel"/>
    <w:tmpl w:val="0B10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CD1E8C"/>
    <w:multiLevelType w:val="hybridMultilevel"/>
    <w:tmpl w:val="2694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D600E0"/>
    <w:multiLevelType w:val="hybridMultilevel"/>
    <w:tmpl w:val="9A9AA5BA"/>
    <w:lvl w:ilvl="0" w:tplc="9E26877E">
      <w:start w:val="1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D97E6D"/>
    <w:multiLevelType w:val="hybridMultilevel"/>
    <w:tmpl w:val="BE26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5"/>
  </w:num>
  <w:num w:numId="4">
    <w:abstractNumId w:val="8"/>
  </w:num>
  <w:num w:numId="5">
    <w:abstractNumId w:val="2"/>
  </w:num>
  <w:num w:numId="6">
    <w:abstractNumId w:val="16"/>
  </w:num>
  <w:num w:numId="7">
    <w:abstractNumId w:val="4"/>
  </w:num>
  <w:num w:numId="8">
    <w:abstractNumId w:val="11"/>
  </w:num>
  <w:num w:numId="9">
    <w:abstractNumId w:val="15"/>
  </w:num>
  <w:num w:numId="10">
    <w:abstractNumId w:val="26"/>
  </w:num>
  <w:num w:numId="11">
    <w:abstractNumId w:val="20"/>
  </w:num>
  <w:num w:numId="12">
    <w:abstractNumId w:val="19"/>
  </w:num>
  <w:num w:numId="13">
    <w:abstractNumId w:val="28"/>
  </w:num>
  <w:num w:numId="14">
    <w:abstractNumId w:val="14"/>
  </w:num>
  <w:num w:numId="15">
    <w:abstractNumId w:val="1"/>
  </w:num>
  <w:num w:numId="16">
    <w:abstractNumId w:val="21"/>
  </w:num>
  <w:num w:numId="17">
    <w:abstractNumId w:val="36"/>
  </w:num>
  <w:num w:numId="18">
    <w:abstractNumId w:val="5"/>
  </w:num>
  <w:num w:numId="19">
    <w:abstractNumId w:val="9"/>
  </w:num>
  <w:num w:numId="20">
    <w:abstractNumId w:val="6"/>
  </w:num>
  <w:num w:numId="21">
    <w:abstractNumId w:val="27"/>
  </w:num>
  <w:num w:numId="22">
    <w:abstractNumId w:val="33"/>
  </w:num>
  <w:num w:numId="23">
    <w:abstractNumId w:val="32"/>
  </w:num>
  <w:num w:numId="24">
    <w:abstractNumId w:val="31"/>
  </w:num>
  <w:num w:numId="25">
    <w:abstractNumId w:val="29"/>
  </w:num>
  <w:num w:numId="26">
    <w:abstractNumId w:val="13"/>
  </w:num>
  <w:num w:numId="27">
    <w:abstractNumId w:val="3"/>
  </w:num>
  <w:num w:numId="28">
    <w:abstractNumId w:val="24"/>
  </w:num>
  <w:num w:numId="29">
    <w:abstractNumId w:val="10"/>
  </w:num>
  <w:num w:numId="30">
    <w:abstractNumId w:val="0"/>
  </w:num>
  <w:num w:numId="31">
    <w:abstractNumId w:val="34"/>
  </w:num>
  <w:num w:numId="32">
    <w:abstractNumId w:val="35"/>
  </w:num>
  <w:num w:numId="33">
    <w:abstractNumId w:val="23"/>
  </w:num>
  <w:num w:numId="34">
    <w:abstractNumId w:val="7"/>
  </w:num>
  <w:num w:numId="35">
    <w:abstractNumId w:val="18"/>
  </w:num>
  <w:num w:numId="36">
    <w:abstractNumId w:val="3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0D8"/>
    <w:rsid w:val="00342017"/>
    <w:rsid w:val="003E2BB6"/>
    <w:rsid w:val="00416EAE"/>
    <w:rsid w:val="00497ECB"/>
    <w:rsid w:val="00642B47"/>
    <w:rsid w:val="00817906"/>
    <w:rsid w:val="008664C4"/>
    <w:rsid w:val="00964959"/>
    <w:rsid w:val="00AE7CAD"/>
    <w:rsid w:val="00CC0F89"/>
    <w:rsid w:val="00D135E6"/>
    <w:rsid w:val="00DB0DE0"/>
    <w:rsid w:val="00DE7150"/>
    <w:rsid w:val="00E54421"/>
    <w:rsid w:val="00EF10D8"/>
    <w:rsid w:val="00F20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CFD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10D8"/>
    <w:rPr>
      <w:rFonts w:ascii="Times New Roman" w:eastAsia="Times New Roman" w:hAnsi="Times New Roman" w:cs="Times New Roman"/>
      <w:lang w:val="en-C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F10D8"/>
    <w:pPr>
      <w:tabs>
        <w:tab w:val="center" w:pos="4320"/>
        <w:tab w:val="right" w:pos="8640"/>
      </w:tabs>
    </w:pPr>
    <w:rPr>
      <w:sz w:val="20"/>
      <w:szCs w:val="20"/>
      <w:lang w:val="en-US"/>
    </w:rPr>
  </w:style>
  <w:style w:type="character" w:customStyle="1" w:styleId="VoettekstChar">
    <w:name w:val="Voettekst Char"/>
    <w:basedOn w:val="Standaardalinea-lettertype"/>
    <w:link w:val="Voettekst"/>
    <w:uiPriority w:val="99"/>
    <w:rsid w:val="00EF10D8"/>
    <w:rPr>
      <w:rFonts w:ascii="Times New Roman" w:eastAsia="Times New Roman" w:hAnsi="Times New Roman" w:cs="Times New Roman"/>
      <w:sz w:val="20"/>
      <w:szCs w:val="20"/>
    </w:rPr>
  </w:style>
  <w:style w:type="paragraph" w:styleId="Lijstalinea">
    <w:name w:val="List Paragraph"/>
    <w:basedOn w:val="Standaard"/>
    <w:uiPriority w:val="34"/>
    <w:qFormat/>
    <w:rsid w:val="00EF10D8"/>
    <w:pPr>
      <w:spacing w:after="160" w:line="259" w:lineRule="auto"/>
      <w:ind w:left="720"/>
      <w:contextualSpacing/>
    </w:pPr>
    <w:rPr>
      <w:rFonts w:asciiTheme="minorHAnsi" w:eastAsiaTheme="minorHAnsi" w:hAnsiTheme="minorHAnsi" w:cstheme="minorBidi"/>
      <w:sz w:val="22"/>
      <w:szCs w:val="22"/>
    </w:rPr>
  </w:style>
  <w:style w:type="paragraph" w:styleId="Koptekst">
    <w:name w:val="header"/>
    <w:basedOn w:val="Standaard"/>
    <w:link w:val="KoptekstChar"/>
    <w:uiPriority w:val="99"/>
    <w:unhideWhenUsed/>
    <w:rsid w:val="00EF10D8"/>
    <w:pPr>
      <w:tabs>
        <w:tab w:val="center" w:pos="4680"/>
        <w:tab w:val="right" w:pos="9360"/>
      </w:tabs>
    </w:pPr>
    <w:rPr>
      <w:rFonts w:asciiTheme="minorHAnsi" w:eastAsiaTheme="minorHAnsi" w:hAnsiTheme="minorHAnsi" w:cstheme="minorBidi"/>
      <w:sz w:val="22"/>
      <w:szCs w:val="22"/>
    </w:rPr>
  </w:style>
  <w:style w:type="character" w:customStyle="1" w:styleId="KoptekstChar">
    <w:name w:val="Koptekst Char"/>
    <w:basedOn w:val="Standaardalinea-lettertype"/>
    <w:link w:val="Koptekst"/>
    <w:uiPriority w:val="99"/>
    <w:rsid w:val="00EF10D8"/>
    <w:rPr>
      <w:sz w:val="22"/>
      <w:szCs w:val="22"/>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10D8"/>
    <w:rPr>
      <w:rFonts w:ascii="Times New Roman" w:eastAsia="Times New Roman" w:hAnsi="Times New Roman" w:cs="Times New Roman"/>
      <w:lang w:val="en-C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F10D8"/>
    <w:pPr>
      <w:tabs>
        <w:tab w:val="center" w:pos="4320"/>
        <w:tab w:val="right" w:pos="8640"/>
      </w:tabs>
    </w:pPr>
    <w:rPr>
      <w:sz w:val="20"/>
      <w:szCs w:val="20"/>
      <w:lang w:val="en-US"/>
    </w:rPr>
  </w:style>
  <w:style w:type="character" w:customStyle="1" w:styleId="VoettekstChar">
    <w:name w:val="Voettekst Char"/>
    <w:basedOn w:val="Standaardalinea-lettertype"/>
    <w:link w:val="Voettekst"/>
    <w:uiPriority w:val="99"/>
    <w:rsid w:val="00EF10D8"/>
    <w:rPr>
      <w:rFonts w:ascii="Times New Roman" w:eastAsia="Times New Roman" w:hAnsi="Times New Roman" w:cs="Times New Roman"/>
      <w:sz w:val="20"/>
      <w:szCs w:val="20"/>
    </w:rPr>
  </w:style>
  <w:style w:type="paragraph" w:styleId="Lijstalinea">
    <w:name w:val="List Paragraph"/>
    <w:basedOn w:val="Standaard"/>
    <w:uiPriority w:val="34"/>
    <w:qFormat/>
    <w:rsid w:val="00EF10D8"/>
    <w:pPr>
      <w:spacing w:after="160" w:line="259" w:lineRule="auto"/>
      <w:ind w:left="720"/>
      <w:contextualSpacing/>
    </w:pPr>
    <w:rPr>
      <w:rFonts w:asciiTheme="minorHAnsi" w:eastAsiaTheme="minorHAnsi" w:hAnsiTheme="minorHAnsi" w:cstheme="minorBidi"/>
      <w:sz w:val="22"/>
      <w:szCs w:val="22"/>
    </w:rPr>
  </w:style>
  <w:style w:type="paragraph" w:styleId="Koptekst">
    <w:name w:val="header"/>
    <w:basedOn w:val="Standaard"/>
    <w:link w:val="KoptekstChar"/>
    <w:uiPriority w:val="99"/>
    <w:unhideWhenUsed/>
    <w:rsid w:val="00EF10D8"/>
    <w:pPr>
      <w:tabs>
        <w:tab w:val="center" w:pos="4680"/>
        <w:tab w:val="right" w:pos="9360"/>
      </w:tabs>
    </w:pPr>
    <w:rPr>
      <w:rFonts w:asciiTheme="minorHAnsi" w:eastAsiaTheme="minorHAnsi" w:hAnsiTheme="minorHAnsi" w:cstheme="minorBidi"/>
      <w:sz w:val="22"/>
      <w:szCs w:val="22"/>
    </w:rPr>
  </w:style>
  <w:style w:type="character" w:customStyle="1" w:styleId="KoptekstChar">
    <w:name w:val="Koptekst Char"/>
    <w:basedOn w:val="Standaardalinea-lettertype"/>
    <w:link w:val="Koptekst"/>
    <w:uiPriority w:val="99"/>
    <w:rsid w:val="00EF10D8"/>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4429</Words>
  <Characters>24360</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Ellaway</dc:creator>
  <cp:keywords/>
  <dc:description/>
  <cp:lastModifiedBy>Helen</cp:lastModifiedBy>
  <cp:revision>3</cp:revision>
  <dcterms:created xsi:type="dcterms:W3CDTF">2021-09-14T13:48:00Z</dcterms:created>
  <dcterms:modified xsi:type="dcterms:W3CDTF">2021-09-14T13:49:00Z</dcterms:modified>
</cp:coreProperties>
</file>