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E9D7B" w14:textId="7A4A3B54" w:rsidR="00EF10D8" w:rsidRPr="00AF440D" w:rsidRDefault="00EF10D8" w:rsidP="00EF10D8">
      <w:pPr>
        <w:pBdr>
          <w:top w:val="nil"/>
          <w:left w:val="nil"/>
          <w:bottom w:val="nil"/>
          <w:right w:val="nil"/>
          <w:between w:val="nil"/>
          <w:bar w:val="nil"/>
        </w:pBdr>
        <w:rPr>
          <w:rFonts w:ascii="Arial" w:hAnsi="Arial"/>
          <w:b/>
          <w:bCs/>
          <w:iCs/>
          <w:sz w:val="20"/>
        </w:rPr>
      </w:pPr>
    </w:p>
    <w:p w14:paraId="60FC2816" w14:textId="77777777" w:rsidR="00EF10D8" w:rsidRPr="00AF440D" w:rsidRDefault="00EF10D8" w:rsidP="00EF10D8">
      <w:pPr>
        <w:spacing w:after="240" w:line="360" w:lineRule="auto"/>
        <w:rPr>
          <w:rFonts w:ascii="Arial" w:hAnsi="Arial"/>
          <w:b/>
          <w:bCs/>
          <w:iCs/>
          <w:sz w:val="20"/>
        </w:rPr>
      </w:pPr>
      <w:r w:rsidRPr="00AF440D">
        <w:rPr>
          <w:rFonts w:ascii="Arial" w:hAnsi="Arial"/>
          <w:b/>
          <w:bCs/>
          <w:iCs/>
          <w:sz w:val="20"/>
        </w:rPr>
        <w:t>Appendix 2: Core UME TGD Curriculum Framework</w:t>
      </w:r>
    </w:p>
    <w:p w14:paraId="449ABADE" w14:textId="77777777" w:rsidR="00EF10D8" w:rsidRPr="00AF440D" w:rsidRDefault="00EF10D8" w:rsidP="00EF10D8">
      <w:pPr>
        <w:numPr>
          <w:ilvl w:val="0"/>
          <w:numId w:val="3"/>
        </w:numPr>
        <w:spacing w:after="240" w:line="360" w:lineRule="auto"/>
        <w:rPr>
          <w:rFonts w:ascii="Arial" w:eastAsiaTheme="minorHAnsi" w:hAnsi="Arial"/>
          <w:b/>
          <w:bCs/>
          <w:sz w:val="20"/>
          <w:szCs w:val="20"/>
        </w:rPr>
      </w:pPr>
      <w:r w:rsidRPr="00AF440D">
        <w:rPr>
          <w:rFonts w:ascii="Arial" w:eastAsiaTheme="minorHAnsi" w:hAnsi="Arial"/>
          <w:b/>
          <w:bCs/>
          <w:sz w:val="20"/>
          <w:szCs w:val="20"/>
        </w:rPr>
        <w:t xml:space="preserve">Core Values </w:t>
      </w:r>
    </w:p>
    <w:p w14:paraId="7EFFBF8B" w14:textId="77777777" w:rsidR="00EF10D8" w:rsidRPr="00AF440D" w:rsidRDefault="00EF10D8" w:rsidP="00EF10D8">
      <w:pPr>
        <w:numPr>
          <w:ilvl w:val="1"/>
          <w:numId w:val="3"/>
        </w:numPr>
        <w:spacing w:after="240" w:line="360" w:lineRule="auto"/>
        <w:rPr>
          <w:rFonts w:ascii="Arial" w:eastAsiaTheme="minorHAnsi" w:hAnsi="Arial"/>
          <w:sz w:val="20"/>
          <w:szCs w:val="20"/>
        </w:rPr>
      </w:pPr>
      <w:r w:rsidRPr="00AF440D">
        <w:rPr>
          <w:rFonts w:ascii="Arial" w:eastAsiaTheme="minorHAnsi" w:hAnsi="Arial"/>
          <w:i/>
          <w:iCs/>
          <w:sz w:val="20"/>
          <w:szCs w:val="20"/>
        </w:rPr>
        <w:t>Scope:</w:t>
      </w:r>
      <w:r w:rsidRPr="00AF440D">
        <w:rPr>
          <w:rFonts w:ascii="Arial" w:eastAsiaTheme="minorHAnsi" w:hAnsi="Arial"/>
          <w:sz w:val="20"/>
          <w:szCs w:val="20"/>
        </w:rPr>
        <w:t xml:space="preserve"> TGD training for undergraduate medical students should:</w:t>
      </w:r>
    </w:p>
    <w:p w14:paraId="34644317" w14:textId="77777777" w:rsidR="00EF10D8" w:rsidRPr="00AF440D" w:rsidRDefault="00EF10D8" w:rsidP="00EF10D8">
      <w:pPr>
        <w:numPr>
          <w:ilvl w:val="2"/>
          <w:numId w:val="3"/>
        </w:numPr>
        <w:spacing w:after="240" w:line="360" w:lineRule="auto"/>
        <w:ind w:left="1446" w:hanging="595"/>
        <w:rPr>
          <w:rFonts w:ascii="Arial" w:eastAsiaTheme="minorHAnsi" w:hAnsi="Arial"/>
          <w:sz w:val="20"/>
          <w:szCs w:val="20"/>
        </w:rPr>
      </w:pPr>
      <w:r w:rsidRPr="00AF440D">
        <w:rPr>
          <w:rFonts w:ascii="Arial" w:eastAsiaTheme="minorHAnsi" w:hAnsi="Arial"/>
          <w:sz w:val="20"/>
          <w:szCs w:val="20"/>
        </w:rPr>
        <w:t>be focused on primary care and broad skills that are applicable to all specialties.</w:t>
      </w:r>
    </w:p>
    <w:p w14:paraId="056E8C1F" w14:textId="77777777" w:rsidR="00EF10D8" w:rsidRPr="00AF440D" w:rsidRDefault="00EF10D8" w:rsidP="00EF10D8">
      <w:pPr>
        <w:numPr>
          <w:ilvl w:val="2"/>
          <w:numId w:val="3"/>
        </w:numPr>
        <w:spacing w:after="240" w:line="360" w:lineRule="auto"/>
        <w:ind w:left="1446" w:hanging="595"/>
        <w:rPr>
          <w:rFonts w:ascii="Arial" w:eastAsiaTheme="minorHAnsi" w:hAnsi="Arial"/>
          <w:sz w:val="20"/>
          <w:szCs w:val="20"/>
        </w:rPr>
      </w:pPr>
      <w:r w:rsidRPr="00AF440D">
        <w:rPr>
          <w:rFonts w:ascii="Arial" w:eastAsiaTheme="minorHAnsi" w:hAnsi="Arial"/>
          <w:sz w:val="20"/>
          <w:szCs w:val="20"/>
        </w:rPr>
        <w:t>emphasize relationship building and patient experience.</w:t>
      </w:r>
    </w:p>
    <w:p w14:paraId="7D022EAA" w14:textId="77777777" w:rsidR="00EF10D8" w:rsidRPr="00AF440D" w:rsidRDefault="00EF10D8" w:rsidP="00EF10D8">
      <w:pPr>
        <w:numPr>
          <w:ilvl w:val="2"/>
          <w:numId w:val="3"/>
        </w:numPr>
        <w:spacing w:after="240" w:line="360" w:lineRule="auto"/>
        <w:ind w:left="1446" w:hanging="595"/>
        <w:rPr>
          <w:rFonts w:ascii="Arial" w:eastAsiaTheme="minorHAnsi" w:hAnsi="Arial"/>
          <w:sz w:val="20"/>
          <w:szCs w:val="20"/>
        </w:rPr>
      </w:pPr>
      <w:r w:rsidRPr="00AF440D">
        <w:rPr>
          <w:rFonts w:ascii="Arial" w:eastAsiaTheme="minorHAnsi" w:hAnsi="Arial"/>
          <w:sz w:val="20"/>
          <w:szCs w:val="20"/>
        </w:rPr>
        <w:t>emphasize the importance of patient advocacy and communication.</w:t>
      </w:r>
    </w:p>
    <w:p w14:paraId="57C532CE" w14:textId="77777777" w:rsidR="00EF10D8" w:rsidRPr="00AF440D" w:rsidRDefault="00EF10D8" w:rsidP="00EF10D8">
      <w:pPr>
        <w:numPr>
          <w:ilvl w:val="2"/>
          <w:numId w:val="3"/>
        </w:numPr>
        <w:spacing w:after="240" w:line="360" w:lineRule="auto"/>
        <w:ind w:left="1446" w:hanging="595"/>
        <w:rPr>
          <w:rFonts w:ascii="Arial" w:eastAsiaTheme="minorHAnsi" w:hAnsi="Arial"/>
          <w:sz w:val="20"/>
          <w:szCs w:val="20"/>
        </w:rPr>
      </w:pPr>
      <w:r w:rsidRPr="00AF440D">
        <w:rPr>
          <w:rFonts w:ascii="Arial" w:eastAsiaTheme="minorHAnsi" w:hAnsi="Arial"/>
          <w:sz w:val="20"/>
          <w:szCs w:val="20"/>
        </w:rPr>
        <w:t>be inclusive of all trans, non-binary and gender diverse identities and presentations.</w:t>
      </w:r>
    </w:p>
    <w:p w14:paraId="433AFD33" w14:textId="77777777" w:rsidR="00EF10D8" w:rsidRPr="00AF440D" w:rsidRDefault="00EF10D8" w:rsidP="00EF10D8">
      <w:pPr>
        <w:numPr>
          <w:ilvl w:val="1"/>
          <w:numId w:val="3"/>
        </w:numPr>
        <w:spacing w:after="240" w:line="360" w:lineRule="auto"/>
        <w:rPr>
          <w:rFonts w:ascii="Arial" w:eastAsiaTheme="minorHAnsi" w:hAnsi="Arial"/>
          <w:i/>
          <w:iCs/>
          <w:sz w:val="20"/>
          <w:szCs w:val="20"/>
        </w:rPr>
      </w:pPr>
      <w:r w:rsidRPr="00AF440D">
        <w:rPr>
          <w:rFonts w:ascii="Arial" w:eastAsiaTheme="minorHAnsi" w:hAnsi="Arial"/>
          <w:i/>
          <w:iCs/>
          <w:sz w:val="20"/>
          <w:szCs w:val="20"/>
        </w:rPr>
        <w:t>Requirements:</w:t>
      </w:r>
    </w:p>
    <w:p w14:paraId="49106ABD"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All students enrolled in undergraduate medical programs should receive training in caring for TGD patients.</w:t>
      </w:r>
    </w:p>
    <w:p w14:paraId="15DBAD01"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Training in gender affirming primary care and transition-related care for TGD patients should be a mandatory component of the medical school curriculum.</w:t>
      </w:r>
    </w:p>
    <w:p w14:paraId="2788B8C3" w14:textId="77777777" w:rsidR="00EF10D8" w:rsidRPr="00AF440D" w:rsidRDefault="00EF10D8" w:rsidP="00EF10D8">
      <w:pPr>
        <w:numPr>
          <w:ilvl w:val="1"/>
          <w:numId w:val="3"/>
        </w:numPr>
        <w:spacing w:after="240" w:line="360" w:lineRule="auto"/>
        <w:rPr>
          <w:rFonts w:ascii="Arial" w:eastAsiaTheme="minorHAnsi" w:hAnsi="Arial"/>
          <w:i/>
          <w:iCs/>
          <w:sz w:val="20"/>
          <w:szCs w:val="20"/>
        </w:rPr>
      </w:pPr>
      <w:r w:rsidRPr="00AF440D">
        <w:rPr>
          <w:rFonts w:ascii="Arial" w:eastAsiaTheme="minorHAnsi" w:hAnsi="Arial"/>
          <w:i/>
          <w:iCs/>
          <w:sz w:val="20"/>
          <w:szCs w:val="20"/>
        </w:rPr>
        <w:t>Inclusivity:</w:t>
      </w:r>
    </w:p>
    <w:p w14:paraId="4324C990"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Gender affirming primary care and transition-related care learning activities in medical education should include TGD identified people.</w:t>
      </w:r>
    </w:p>
    <w:p w14:paraId="7555600B" w14:textId="77777777" w:rsidR="00EF10D8" w:rsidRPr="00AF440D" w:rsidRDefault="00EF10D8" w:rsidP="00EF10D8">
      <w:pPr>
        <w:numPr>
          <w:ilvl w:val="1"/>
          <w:numId w:val="3"/>
        </w:numPr>
        <w:spacing w:after="240" w:line="360" w:lineRule="auto"/>
        <w:rPr>
          <w:rFonts w:ascii="Arial" w:eastAsiaTheme="minorHAnsi" w:hAnsi="Arial"/>
          <w:i/>
          <w:iCs/>
          <w:sz w:val="20"/>
          <w:szCs w:val="20"/>
        </w:rPr>
      </w:pPr>
      <w:r w:rsidRPr="00AF440D">
        <w:rPr>
          <w:rFonts w:ascii="Arial" w:eastAsiaTheme="minorHAnsi" w:hAnsi="Arial"/>
          <w:i/>
          <w:iCs/>
          <w:sz w:val="20"/>
          <w:szCs w:val="20"/>
        </w:rPr>
        <w:t>Safety in practice:</w:t>
      </w:r>
    </w:p>
    <w:p w14:paraId="675271D1"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cs="Arial"/>
          <w:sz w:val="20"/>
          <w:szCs w:val="20"/>
        </w:rPr>
        <w:t>Students</w:t>
      </w:r>
      <w:r w:rsidRPr="00AF440D">
        <w:rPr>
          <w:rFonts w:ascii="Arial" w:eastAsiaTheme="minorHAnsi" w:hAnsi="Arial"/>
          <w:sz w:val="20"/>
          <w:szCs w:val="20"/>
        </w:rPr>
        <w:t xml:space="preserve"> need to be aware that discussing TGD status in </w:t>
      </w:r>
      <w:r w:rsidRPr="00AF440D">
        <w:rPr>
          <w:rFonts w:ascii="Arial" w:eastAsiaTheme="minorHAnsi" w:hAnsi="Arial" w:cs="Arial"/>
          <w:sz w:val="20"/>
          <w:szCs w:val="20"/>
        </w:rPr>
        <w:t>spaces where conversations</w:t>
      </w:r>
      <w:r w:rsidRPr="00AF440D">
        <w:rPr>
          <w:rFonts w:ascii="Arial" w:eastAsiaTheme="minorHAnsi" w:hAnsi="Arial"/>
          <w:sz w:val="20"/>
          <w:szCs w:val="20"/>
        </w:rPr>
        <w:t xml:space="preserve"> can be overheard </w:t>
      </w:r>
      <w:r w:rsidRPr="00AF440D">
        <w:rPr>
          <w:rFonts w:ascii="Arial" w:eastAsiaTheme="minorHAnsi" w:hAnsi="Arial" w:cs="Arial"/>
          <w:sz w:val="20"/>
          <w:szCs w:val="20"/>
        </w:rPr>
        <w:t>may</w:t>
      </w:r>
      <w:r w:rsidRPr="00AF440D">
        <w:rPr>
          <w:rFonts w:ascii="Arial" w:eastAsiaTheme="minorHAnsi" w:hAnsi="Arial"/>
          <w:sz w:val="20"/>
          <w:szCs w:val="20"/>
        </w:rPr>
        <w:t xml:space="preserve"> be uncomfortable and, in some cases, dangerous; patient confidentiality includes disclosure of TGD status.</w:t>
      </w:r>
    </w:p>
    <w:p w14:paraId="60E54773"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Students should understand that curiosity is not sufficient reason to ask questions about TGD status; questions and any care provided need to be relevant to the healthcare issue at hand.</w:t>
      </w:r>
    </w:p>
    <w:p w14:paraId="56F2EF87"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 xml:space="preserve">Students should understand the need to respect the physical boundaries of TGD patients at all times. </w:t>
      </w:r>
    </w:p>
    <w:p w14:paraId="40DBE556" w14:textId="77777777" w:rsidR="00EF10D8" w:rsidRPr="00AF440D" w:rsidRDefault="00EF10D8" w:rsidP="00EF10D8">
      <w:pPr>
        <w:numPr>
          <w:ilvl w:val="1"/>
          <w:numId w:val="3"/>
        </w:numPr>
        <w:spacing w:after="240" w:line="360" w:lineRule="auto"/>
        <w:rPr>
          <w:rFonts w:ascii="Arial" w:eastAsiaTheme="minorHAnsi" w:hAnsi="Arial"/>
          <w:i/>
          <w:iCs/>
          <w:sz w:val="20"/>
          <w:szCs w:val="20"/>
        </w:rPr>
      </w:pPr>
      <w:r w:rsidRPr="00AF440D">
        <w:rPr>
          <w:rFonts w:ascii="Arial" w:eastAsiaTheme="minorHAnsi" w:hAnsi="Arial"/>
          <w:i/>
          <w:iCs/>
          <w:sz w:val="20"/>
          <w:szCs w:val="20"/>
        </w:rPr>
        <w:t xml:space="preserve">Safety in teaching: </w:t>
      </w:r>
      <w:r w:rsidRPr="00AF440D">
        <w:rPr>
          <w:rFonts w:ascii="Arial" w:eastAsiaTheme="minorHAnsi" w:hAnsi="Arial"/>
          <w:sz w:val="20"/>
          <w:szCs w:val="20"/>
        </w:rPr>
        <w:t>Undergraduate medical programs should:</w:t>
      </w:r>
    </w:p>
    <w:p w14:paraId="4EF9DF2B"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lastRenderedPageBreak/>
        <w:t>Make an explicit statement that students should feel safe to practice TGD terminology and interviewing techniques in TGD learning sessions.</w:t>
      </w:r>
    </w:p>
    <w:p w14:paraId="62F36709"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Ensure the safety of TGD persons who are involved in undergraduate medical teaching.</w:t>
      </w:r>
    </w:p>
    <w:p w14:paraId="2EC4AC1F" w14:textId="77777777" w:rsidR="00EF10D8" w:rsidRPr="00AF440D" w:rsidRDefault="00EF10D8" w:rsidP="00EF10D8">
      <w:pPr>
        <w:numPr>
          <w:ilvl w:val="2"/>
          <w:numId w:val="3"/>
        </w:numPr>
        <w:spacing w:after="240" w:line="360" w:lineRule="auto"/>
        <w:ind w:left="1418" w:hanging="567"/>
        <w:rPr>
          <w:rFonts w:ascii="Arial" w:eastAsiaTheme="minorHAnsi" w:hAnsi="Arial"/>
          <w:sz w:val="20"/>
          <w:szCs w:val="20"/>
        </w:rPr>
      </w:pPr>
      <w:r w:rsidRPr="00AF440D">
        <w:rPr>
          <w:rFonts w:ascii="Arial" w:eastAsiaTheme="minorHAnsi" w:hAnsi="Arial"/>
          <w:sz w:val="20"/>
          <w:szCs w:val="20"/>
        </w:rPr>
        <w:t>Ensure that gender-inclusive bathrooms are readily available in undergraduate medical teaching contexts.</w:t>
      </w:r>
    </w:p>
    <w:p w14:paraId="4A0BF1A9" w14:textId="77777777" w:rsidR="00EF10D8" w:rsidRPr="00AF440D" w:rsidRDefault="00EF10D8" w:rsidP="00EF10D8">
      <w:pPr>
        <w:spacing w:after="240" w:line="360" w:lineRule="auto"/>
        <w:rPr>
          <w:rFonts w:ascii="Arial" w:eastAsiaTheme="minorHAnsi" w:hAnsi="Arial"/>
          <w:sz w:val="20"/>
          <w:szCs w:val="20"/>
        </w:rPr>
      </w:pPr>
    </w:p>
    <w:p w14:paraId="4742B669" w14:textId="77777777" w:rsidR="00EF10D8" w:rsidRPr="00AF440D" w:rsidRDefault="00EF10D8" w:rsidP="00EF10D8">
      <w:pPr>
        <w:numPr>
          <w:ilvl w:val="0"/>
          <w:numId w:val="3"/>
        </w:numPr>
        <w:spacing w:after="240" w:line="360" w:lineRule="auto"/>
        <w:rPr>
          <w:rFonts w:ascii="Arial" w:eastAsiaTheme="minorHAnsi" w:hAnsi="Arial"/>
          <w:b/>
          <w:bCs/>
          <w:sz w:val="20"/>
          <w:szCs w:val="20"/>
        </w:rPr>
      </w:pPr>
      <w:r w:rsidRPr="00AF440D">
        <w:rPr>
          <w:rFonts w:ascii="Arial" w:eastAsiaTheme="minorHAnsi" w:hAnsi="Arial"/>
          <w:b/>
          <w:bCs/>
          <w:sz w:val="20"/>
          <w:szCs w:val="20"/>
        </w:rPr>
        <w:t>Core Teaching Objectives</w:t>
      </w:r>
    </w:p>
    <w:p w14:paraId="655CC810"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2.1 Awareness of structures and regulations</w:t>
      </w:r>
    </w:p>
    <w:p w14:paraId="3373F98F" w14:textId="77777777" w:rsidR="00EF10D8" w:rsidRPr="00AF440D" w:rsidRDefault="00EF10D8" w:rsidP="00EF10D8">
      <w:pPr>
        <w:spacing w:after="240" w:line="360" w:lineRule="auto"/>
        <w:ind w:left="1449" w:hanging="716"/>
        <w:rPr>
          <w:rFonts w:ascii="Arial" w:eastAsia="Arial" w:hAnsi="Arial" w:cs="Arial"/>
          <w:i/>
          <w:iCs/>
          <w:sz w:val="20"/>
          <w:szCs w:val="20"/>
        </w:rPr>
      </w:pPr>
      <w:r w:rsidRPr="00AF440D">
        <w:rPr>
          <w:rFonts w:ascii="Arial" w:eastAsiaTheme="minorHAnsi" w:hAnsi="Arial"/>
          <w:sz w:val="20"/>
          <w:szCs w:val="20"/>
        </w:rPr>
        <w:t>2.1.1     All students need to be aware of WPATH and its implications for medical, surgical and legal transition.</w:t>
      </w:r>
    </w:p>
    <w:p w14:paraId="0339C46F"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2.2 Personal Reflection</w:t>
      </w:r>
      <w:r w:rsidRPr="00AF440D">
        <w:rPr>
          <w:rFonts w:ascii="Arial" w:hAnsi="Arial"/>
          <w:i/>
          <w:iCs/>
          <w:sz w:val="20"/>
          <w:szCs w:val="20"/>
        </w:rPr>
        <w:t xml:space="preserve">: </w:t>
      </w:r>
      <w:r w:rsidRPr="00AF440D">
        <w:rPr>
          <w:rFonts w:ascii="Arial" w:hAnsi="Arial"/>
          <w:sz w:val="20"/>
          <w:szCs w:val="20"/>
        </w:rPr>
        <w:t>All students will:</w:t>
      </w:r>
    </w:p>
    <w:p w14:paraId="5A3195DD" w14:textId="77777777" w:rsidR="00EF10D8" w:rsidRPr="00AF440D" w:rsidRDefault="00EF10D8" w:rsidP="00EF10D8">
      <w:pPr>
        <w:spacing w:after="240" w:line="360" w:lineRule="auto"/>
        <w:ind w:left="1442" w:hanging="709"/>
        <w:rPr>
          <w:rFonts w:ascii="Arial" w:eastAsia="Arial" w:hAnsi="Arial" w:cs="Arial"/>
          <w:sz w:val="20"/>
          <w:szCs w:val="20"/>
        </w:rPr>
      </w:pPr>
      <w:r w:rsidRPr="00AF440D">
        <w:rPr>
          <w:rFonts w:ascii="Arial" w:hAnsi="Arial"/>
          <w:sz w:val="20"/>
        </w:rPr>
        <w:t>2.2.1</w:t>
      </w:r>
      <w:r w:rsidRPr="00AF440D">
        <w:rPr>
          <w:rFonts w:ascii="Arial" w:hAnsi="Arial"/>
          <w:sz w:val="20"/>
          <w:szCs w:val="20"/>
        </w:rPr>
        <w:t xml:space="preserve">     Be helped to explore and address personal biases as related to sex and gender.</w:t>
      </w:r>
    </w:p>
    <w:p w14:paraId="3B4F1A53"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2.3 Language &amp; Terminology</w:t>
      </w:r>
      <w:r w:rsidRPr="00AF440D">
        <w:rPr>
          <w:rFonts w:ascii="Arial" w:hAnsi="Arial"/>
          <w:i/>
          <w:iCs/>
          <w:sz w:val="20"/>
          <w:szCs w:val="20"/>
        </w:rPr>
        <w:t xml:space="preserve">: </w:t>
      </w:r>
      <w:r w:rsidRPr="00AF440D">
        <w:rPr>
          <w:rFonts w:ascii="Arial" w:hAnsi="Arial"/>
          <w:sz w:val="20"/>
          <w:szCs w:val="20"/>
        </w:rPr>
        <w:t>All students will:</w:t>
      </w:r>
    </w:p>
    <w:p w14:paraId="64B1C73B" w14:textId="77777777" w:rsidR="00EF10D8" w:rsidRPr="00AF440D" w:rsidRDefault="00EF10D8" w:rsidP="00EF10D8">
      <w:pPr>
        <w:numPr>
          <w:ilvl w:val="2"/>
          <w:numId w:val="5"/>
        </w:numPr>
        <w:spacing w:after="240" w:line="360" w:lineRule="auto"/>
        <w:ind w:left="1449" w:hanging="709"/>
        <w:rPr>
          <w:rFonts w:ascii="Arial" w:eastAsiaTheme="minorHAnsi" w:hAnsi="Arial"/>
          <w:sz w:val="20"/>
          <w:szCs w:val="20"/>
        </w:rPr>
      </w:pPr>
      <w:r w:rsidRPr="00AF440D">
        <w:rPr>
          <w:rFonts w:ascii="Arial" w:eastAsiaTheme="minorHAnsi" w:hAnsi="Arial"/>
          <w:sz w:val="20"/>
          <w:szCs w:val="20"/>
        </w:rPr>
        <w:t>Use appropriate terminology and basic concepts in the context of providing patient care for TGD patients, including but not limited to: sex, disorders of sexual differentiation, gender identity, gender dysphoria, gender nonconformity, gender presentation, transgender, non-binary, and genderqueer.</w:t>
      </w:r>
    </w:p>
    <w:p w14:paraId="1334FD8D" w14:textId="77777777" w:rsidR="00EF10D8" w:rsidRPr="00AF440D" w:rsidRDefault="00EF10D8" w:rsidP="00EF10D8">
      <w:pPr>
        <w:numPr>
          <w:ilvl w:val="2"/>
          <w:numId w:val="5"/>
        </w:numPr>
        <w:spacing w:after="240" w:line="360" w:lineRule="auto"/>
        <w:ind w:left="1449" w:hanging="709"/>
        <w:rPr>
          <w:rFonts w:ascii="Arial" w:eastAsiaTheme="minorHAnsi" w:hAnsi="Arial"/>
          <w:sz w:val="20"/>
          <w:szCs w:val="20"/>
        </w:rPr>
      </w:pPr>
      <w:r w:rsidRPr="00AF440D">
        <w:rPr>
          <w:rFonts w:ascii="Arial" w:eastAsiaTheme="minorHAnsi" w:hAnsi="Arial"/>
          <w:sz w:val="20"/>
          <w:szCs w:val="20"/>
        </w:rPr>
        <w:t xml:space="preserve">Understand that ‘transgender’ is an umbrella term used in the LGBTQ community that can include people who are </w:t>
      </w:r>
      <w:proofErr w:type="spellStart"/>
      <w:r w:rsidRPr="00AF440D">
        <w:rPr>
          <w:rFonts w:ascii="Arial" w:eastAsiaTheme="minorHAnsi" w:hAnsi="Arial"/>
          <w:sz w:val="20"/>
          <w:szCs w:val="20"/>
        </w:rPr>
        <w:t>agender</w:t>
      </w:r>
      <w:proofErr w:type="spellEnd"/>
      <w:r w:rsidRPr="00AF440D">
        <w:rPr>
          <w:rFonts w:ascii="Arial" w:eastAsiaTheme="minorHAnsi" w:hAnsi="Arial"/>
          <w:sz w:val="20"/>
          <w:szCs w:val="20"/>
        </w:rPr>
        <w:t xml:space="preserve"> and </w:t>
      </w:r>
      <w:proofErr w:type="spellStart"/>
      <w:r w:rsidRPr="00AF440D">
        <w:rPr>
          <w:rFonts w:ascii="Arial" w:eastAsiaTheme="minorHAnsi" w:hAnsi="Arial"/>
          <w:sz w:val="20"/>
          <w:szCs w:val="20"/>
        </w:rPr>
        <w:t>genderfluid</w:t>
      </w:r>
      <w:proofErr w:type="spellEnd"/>
      <w:r w:rsidRPr="00AF440D">
        <w:rPr>
          <w:rFonts w:ascii="Arial" w:eastAsiaTheme="minorHAnsi" w:hAnsi="Arial"/>
          <w:sz w:val="20"/>
          <w:szCs w:val="20"/>
        </w:rPr>
        <w:t xml:space="preserve"> as well as those who may transition in different ways</w:t>
      </w:r>
      <w:r w:rsidRPr="00AF440D">
        <w:rPr>
          <w:rFonts w:ascii="Arial" w:eastAsiaTheme="minorHAnsi" w:hAnsi="Arial" w:cs="Arial"/>
          <w:sz w:val="20"/>
          <w:szCs w:val="20"/>
        </w:rPr>
        <w:t xml:space="preserve"> or not at all.</w:t>
      </w:r>
    </w:p>
    <w:p w14:paraId="72EFB8E6" w14:textId="77777777" w:rsidR="00EF10D8" w:rsidRPr="00AF440D" w:rsidRDefault="00EF10D8" w:rsidP="00EF10D8">
      <w:pPr>
        <w:numPr>
          <w:ilvl w:val="2"/>
          <w:numId w:val="5"/>
        </w:numPr>
        <w:spacing w:after="240" w:line="360" w:lineRule="auto"/>
        <w:ind w:left="1449" w:hanging="709"/>
        <w:rPr>
          <w:rFonts w:ascii="Arial" w:eastAsiaTheme="minorHAnsi" w:hAnsi="Arial"/>
          <w:sz w:val="20"/>
          <w:szCs w:val="20"/>
        </w:rPr>
      </w:pPr>
      <w:r w:rsidRPr="00AF440D">
        <w:rPr>
          <w:rFonts w:ascii="Arial" w:eastAsiaTheme="minorHAnsi" w:hAnsi="Arial"/>
          <w:sz w:val="20"/>
          <w:szCs w:val="20"/>
        </w:rPr>
        <w:t xml:space="preserve">Know how to use preferred patient names, pronouns, and language, and understand how this can increase TGD patient comfort and build positive rapport. </w:t>
      </w:r>
    </w:p>
    <w:p w14:paraId="719555F9"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2.4 History, Epidemiology, Social Determinants of Health</w:t>
      </w:r>
      <w:r w:rsidRPr="00AF440D">
        <w:rPr>
          <w:rFonts w:ascii="Arial" w:hAnsi="Arial"/>
          <w:i/>
          <w:sz w:val="20"/>
        </w:rPr>
        <w:tab/>
      </w:r>
      <w:r w:rsidRPr="00AF440D">
        <w:rPr>
          <w:rFonts w:ascii="Arial" w:hAnsi="Arial"/>
          <w:i/>
          <w:iCs/>
          <w:sz w:val="20"/>
          <w:szCs w:val="20"/>
        </w:rPr>
        <w:t xml:space="preserve">: </w:t>
      </w:r>
      <w:r w:rsidRPr="00AF440D">
        <w:rPr>
          <w:rFonts w:ascii="Arial" w:hAnsi="Arial"/>
          <w:sz w:val="20"/>
          <w:szCs w:val="20"/>
        </w:rPr>
        <w:t>All students will demonstrate a clear understanding of:</w:t>
      </w:r>
    </w:p>
    <w:p w14:paraId="09102C91"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2.4.1</w:t>
      </w:r>
      <w:r w:rsidRPr="00AF440D">
        <w:rPr>
          <w:rFonts w:ascii="Arial" w:hAnsi="Arial"/>
          <w:sz w:val="20"/>
          <w:szCs w:val="20"/>
        </w:rPr>
        <w:t xml:space="preserve">     Sources of gender-related trauma for TGD patients (Including but not limited to: gender dysphoria, pronouns and </w:t>
      </w:r>
      <w:proofErr w:type="spellStart"/>
      <w:r w:rsidRPr="00AF440D">
        <w:rPr>
          <w:rFonts w:ascii="Arial" w:hAnsi="Arial"/>
          <w:sz w:val="20"/>
          <w:szCs w:val="20"/>
        </w:rPr>
        <w:t>misgendering</w:t>
      </w:r>
      <w:proofErr w:type="spellEnd"/>
      <w:r w:rsidRPr="00AF440D">
        <w:rPr>
          <w:rFonts w:ascii="Arial" w:hAnsi="Arial"/>
          <w:sz w:val="20"/>
          <w:szCs w:val="20"/>
        </w:rPr>
        <w:t xml:space="preserve">, </w:t>
      </w:r>
      <w:proofErr w:type="spellStart"/>
      <w:r w:rsidRPr="00AF440D">
        <w:rPr>
          <w:rFonts w:ascii="Arial" w:hAnsi="Arial"/>
          <w:sz w:val="20"/>
          <w:szCs w:val="20"/>
        </w:rPr>
        <w:t>deadnaming</w:t>
      </w:r>
      <w:proofErr w:type="spellEnd"/>
      <w:r w:rsidRPr="00AF440D">
        <w:rPr>
          <w:rFonts w:ascii="Arial" w:hAnsi="Arial"/>
          <w:sz w:val="20"/>
          <w:szCs w:val="20"/>
        </w:rPr>
        <w:t>, denial of care, stigma, stereotyping, transphobia).</w:t>
      </w:r>
    </w:p>
    <w:p w14:paraId="4C8A7AEF"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lastRenderedPageBreak/>
        <w:t xml:space="preserve">2.4.2 </w:t>
      </w:r>
      <w:r w:rsidRPr="00AF440D">
        <w:rPr>
          <w:rFonts w:ascii="Arial" w:hAnsi="Arial"/>
          <w:sz w:val="20"/>
          <w:szCs w:val="20"/>
        </w:rPr>
        <w:t xml:space="preserve">    How TGD patients’ negative and traumatic experiences in the medical system can impact their healthcare.</w:t>
      </w:r>
    </w:p>
    <w:p w14:paraId="779B0EDE"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2.4.3 </w:t>
      </w:r>
      <w:r w:rsidRPr="00AF440D">
        <w:rPr>
          <w:rFonts w:ascii="Arial" w:hAnsi="Arial"/>
          <w:sz w:val="20"/>
          <w:szCs w:val="20"/>
        </w:rPr>
        <w:t xml:space="preserve">    The challenges TGD patients can face in accessing healthcare.</w:t>
      </w:r>
    </w:p>
    <w:p w14:paraId="12965802"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2.4.4 </w:t>
      </w:r>
      <w:r w:rsidRPr="00AF440D">
        <w:rPr>
          <w:rFonts w:ascii="Arial" w:hAnsi="Arial"/>
          <w:sz w:val="20"/>
          <w:szCs w:val="20"/>
        </w:rPr>
        <w:t xml:space="preserve">    Demonstrate a clear understanding of transphobia, discrimination, and other social disadvantages related to healthcare for TGD patients.</w:t>
      </w:r>
    </w:p>
    <w:p w14:paraId="2CBAF3DC"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2.4.5 </w:t>
      </w:r>
      <w:r w:rsidRPr="00AF440D">
        <w:rPr>
          <w:rFonts w:ascii="Arial" w:hAnsi="Arial"/>
          <w:sz w:val="20"/>
          <w:szCs w:val="20"/>
        </w:rPr>
        <w:t xml:space="preserve">    The social determinants of health specific to TGD patients (including but not limited to: economic status, ethnicity/religion, employment, homelessness).</w:t>
      </w:r>
    </w:p>
    <w:p w14:paraId="1B29FC11"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2.5 Mental Health</w:t>
      </w:r>
      <w:r w:rsidRPr="00AF440D">
        <w:rPr>
          <w:rFonts w:ascii="Arial" w:hAnsi="Arial"/>
          <w:i/>
          <w:iCs/>
          <w:sz w:val="20"/>
          <w:szCs w:val="20"/>
        </w:rPr>
        <w:t xml:space="preserve">: </w:t>
      </w:r>
      <w:r w:rsidRPr="00AF440D">
        <w:rPr>
          <w:rFonts w:ascii="Arial" w:hAnsi="Arial"/>
          <w:sz w:val="20"/>
          <w:szCs w:val="20"/>
        </w:rPr>
        <w:t>All students will demonstrate knowledge of:</w:t>
      </w:r>
    </w:p>
    <w:p w14:paraId="34B7D40B" w14:textId="77777777" w:rsidR="00EF10D8" w:rsidRPr="00AF440D" w:rsidRDefault="00EF10D8" w:rsidP="00EF10D8">
      <w:pPr>
        <w:spacing w:after="240" w:line="360" w:lineRule="auto"/>
        <w:ind w:left="1442" w:hanging="709"/>
        <w:rPr>
          <w:rFonts w:ascii="Arial" w:eastAsia="Arial" w:hAnsi="Arial" w:cs="Arial"/>
          <w:i/>
          <w:iCs/>
          <w:sz w:val="20"/>
          <w:szCs w:val="20"/>
        </w:rPr>
      </w:pPr>
      <w:r w:rsidRPr="00AF440D">
        <w:rPr>
          <w:rFonts w:ascii="Arial" w:hAnsi="Arial"/>
          <w:sz w:val="20"/>
        </w:rPr>
        <w:t xml:space="preserve">2.5.1 </w:t>
      </w:r>
      <w:r w:rsidRPr="00AF440D">
        <w:rPr>
          <w:rFonts w:ascii="Arial" w:hAnsi="Arial"/>
          <w:sz w:val="20"/>
          <w:szCs w:val="20"/>
        </w:rPr>
        <w:t xml:space="preserve">    Social and community supports for TGD patients.</w:t>
      </w:r>
    </w:p>
    <w:p w14:paraId="0B4E88DC"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2.5.2 </w:t>
      </w:r>
      <w:r w:rsidRPr="00AF440D">
        <w:rPr>
          <w:rFonts w:ascii="Arial" w:hAnsi="Arial"/>
          <w:sz w:val="20"/>
          <w:szCs w:val="20"/>
        </w:rPr>
        <w:t xml:space="preserve">    Concurrent mental health disorders and suicidality for TGD patients.</w:t>
      </w:r>
    </w:p>
    <w:p w14:paraId="5EE511BF"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2.5.3 </w:t>
      </w:r>
      <w:r w:rsidRPr="00AF440D">
        <w:rPr>
          <w:rFonts w:ascii="Arial" w:hAnsi="Arial"/>
          <w:sz w:val="20"/>
          <w:szCs w:val="20"/>
        </w:rPr>
        <w:t xml:space="preserve">    Ways in which TGD patients may have previous medical trauma and the ways in which this can impact the provision of care.</w:t>
      </w:r>
    </w:p>
    <w:p w14:paraId="14E6C493"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2.5.4 </w:t>
      </w:r>
      <w:r w:rsidRPr="00AF440D">
        <w:rPr>
          <w:rFonts w:ascii="Arial" w:hAnsi="Arial"/>
          <w:sz w:val="20"/>
          <w:szCs w:val="20"/>
        </w:rPr>
        <w:t xml:space="preserve">    How to differentiate the effects that dysphoria has on for TGD patients’ mental health from other mental health concerns.</w:t>
      </w:r>
    </w:p>
    <w:p w14:paraId="740FFC5D"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2.5.5 </w:t>
      </w:r>
      <w:r w:rsidRPr="00AF440D">
        <w:rPr>
          <w:rFonts w:ascii="Arial" w:hAnsi="Arial"/>
          <w:sz w:val="20"/>
          <w:szCs w:val="20"/>
        </w:rPr>
        <w:t xml:space="preserve">    Ways in which physicians play an important role in helping TGD and gender-questioning patients understand their options with regards to gender transition and mental health supports.</w:t>
      </w:r>
    </w:p>
    <w:p w14:paraId="24516822"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2.6 Hormones</w:t>
      </w:r>
      <w:r w:rsidRPr="00AF440D">
        <w:rPr>
          <w:rFonts w:ascii="Arial" w:hAnsi="Arial"/>
          <w:i/>
          <w:iCs/>
          <w:sz w:val="20"/>
          <w:szCs w:val="20"/>
        </w:rPr>
        <w:t xml:space="preserve">: </w:t>
      </w:r>
      <w:r w:rsidRPr="00AF440D">
        <w:rPr>
          <w:rFonts w:ascii="Arial" w:hAnsi="Arial"/>
          <w:sz w:val="20"/>
          <w:szCs w:val="20"/>
        </w:rPr>
        <w:t>All students will demonstrate knowledge of the:</w:t>
      </w:r>
    </w:p>
    <w:p w14:paraId="6214AD00"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2.6.1 </w:t>
      </w:r>
      <w:r w:rsidRPr="00AF440D">
        <w:rPr>
          <w:rFonts w:ascii="Arial" w:hAnsi="Arial"/>
          <w:sz w:val="20"/>
          <w:szCs w:val="20"/>
        </w:rPr>
        <w:t xml:space="preserve">    Criteria for initiating hormone therapy for TGD patients.</w:t>
      </w:r>
    </w:p>
    <w:p w14:paraId="4E3DD23C"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2.6.2 </w:t>
      </w:r>
      <w:r w:rsidRPr="00AF440D">
        <w:rPr>
          <w:rFonts w:ascii="Arial" w:hAnsi="Arial"/>
          <w:sz w:val="20"/>
          <w:szCs w:val="20"/>
        </w:rPr>
        <w:t xml:space="preserve">    Physical effects of hormone therapy for TGD patients.</w:t>
      </w:r>
    </w:p>
    <w:p w14:paraId="34B71D97"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2.6.3 </w:t>
      </w:r>
      <w:r w:rsidRPr="00AF440D">
        <w:rPr>
          <w:rFonts w:ascii="Arial" w:hAnsi="Arial"/>
          <w:sz w:val="20"/>
          <w:szCs w:val="20"/>
        </w:rPr>
        <w:t xml:space="preserve">    Risks, side effects and contraindications to hormone therapy for TGD patients.</w:t>
      </w:r>
    </w:p>
    <w:p w14:paraId="6FF702DE"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2.6.4 </w:t>
      </w:r>
      <w:r w:rsidRPr="00AF440D">
        <w:rPr>
          <w:rFonts w:ascii="Arial" w:hAnsi="Arial"/>
          <w:sz w:val="20"/>
          <w:szCs w:val="20"/>
        </w:rPr>
        <w:t xml:space="preserve">    Risks of withholding hormone therapy for TGD patients.</w:t>
      </w:r>
    </w:p>
    <w:p w14:paraId="7235F6C1"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2.7 Surgery</w:t>
      </w:r>
      <w:r w:rsidRPr="00AF440D">
        <w:rPr>
          <w:rFonts w:ascii="Arial" w:hAnsi="Arial"/>
          <w:i/>
          <w:iCs/>
          <w:sz w:val="20"/>
          <w:szCs w:val="20"/>
        </w:rPr>
        <w:t xml:space="preserve">: </w:t>
      </w:r>
      <w:r w:rsidRPr="00AF440D">
        <w:rPr>
          <w:rFonts w:ascii="Arial" w:hAnsi="Arial"/>
          <w:sz w:val="20"/>
          <w:szCs w:val="20"/>
        </w:rPr>
        <w:t xml:space="preserve">All students will </w:t>
      </w:r>
      <w:r w:rsidRPr="00AF440D">
        <w:rPr>
          <w:rFonts w:ascii="Arial" w:hAnsi="Arial"/>
          <w:sz w:val="20"/>
        </w:rPr>
        <w:t>demonstrate basic knowledge of</w:t>
      </w:r>
      <w:r w:rsidRPr="00AF440D">
        <w:rPr>
          <w:rFonts w:ascii="Arial" w:hAnsi="Arial"/>
          <w:sz w:val="20"/>
          <w:szCs w:val="20"/>
        </w:rPr>
        <w:t>:</w:t>
      </w:r>
    </w:p>
    <w:p w14:paraId="1B4850E9"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2.7.1 </w:t>
      </w:r>
      <w:r w:rsidRPr="00AF440D">
        <w:rPr>
          <w:rFonts w:ascii="Arial" w:hAnsi="Arial"/>
          <w:sz w:val="20"/>
          <w:szCs w:val="20"/>
        </w:rPr>
        <w:t xml:space="preserve">    Post transition-related surgical anatomy for TGD patients (including but not limited to: </w:t>
      </w:r>
      <w:proofErr w:type="spellStart"/>
      <w:r w:rsidRPr="00AF440D">
        <w:rPr>
          <w:rFonts w:ascii="Arial" w:hAnsi="Arial"/>
          <w:sz w:val="20"/>
          <w:szCs w:val="20"/>
        </w:rPr>
        <w:t>vaginoplasty</w:t>
      </w:r>
      <w:proofErr w:type="spellEnd"/>
      <w:r w:rsidRPr="00AF440D">
        <w:rPr>
          <w:rFonts w:ascii="Arial" w:hAnsi="Arial"/>
          <w:sz w:val="20"/>
          <w:szCs w:val="20"/>
        </w:rPr>
        <w:t xml:space="preserve">, metoidioplasty, </w:t>
      </w:r>
      <w:proofErr w:type="spellStart"/>
      <w:r w:rsidRPr="00AF440D">
        <w:rPr>
          <w:rFonts w:ascii="Arial" w:hAnsi="Arial"/>
          <w:sz w:val="20"/>
          <w:szCs w:val="20"/>
        </w:rPr>
        <w:t>phalloplasty</w:t>
      </w:r>
      <w:proofErr w:type="spellEnd"/>
      <w:r w:rsidRPr="00AF440D">
        <w:rPr>
          <w:rFonts w:ascii="Arial" w:hAnsi="Arial"/>
          <w:sz w:val="20"/>
          <w:szCs w:val="20"/>
        </w:rPr>
        <w:t>, chest reconstruction, facial feminization surgery)</w:t>
      </w:r>
    </w:p>
    <w:p w14:paraId="4054CBCB"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lastRenderedPageBreak/>
        <w:t xml:space="preserve">2.7.2     Common transition-related surgical procedures and potential complications for TGD patients (such as pain, infection, </w:t>
      </w:r>
      <w:r w:rsidRPr="00AF440D">
        <w:rPr>
          <w:rFonts w:ascii="Arial" w:hAnsi="Arial" w:cs="Arial"/>
          <w:sz w:val="20"/>
          <w:szCs w:val="20"/>
        </w:rPr>
        <w:t xml:space="preserve">bleeding, </w:t>
      </w:r>
      <w:proofErr w:type="spellStart"/>
      <w:r w:rsidRPr="00AF440D">
        <w:rPr>
          <w:rFonts w:ascii="Arial" w:hAnsi="Arial"/>
          <w:sz w:val="20"/>
        </w:rPr>
        <w:t>hypergranulation</w:t>
      </w:r>
      <w:proofErr w:type="spellEnd"/>
      <w:r w:rsidRPr="00AF440D">
        <w:rPr>
          <w:rFonts w:ascii="Arial" w:hAnsi="Arial" w:cs="Arial"/>
          <w:sz w:val="20"/>
          <w:szCs w:val="20"/>
        </w:rPr>
        <w:t xml:space="preserve"> tissue</w:t>
      </w:r>
      <w:r w:rsidRPr="00AF440D">
        <w:rPr>
          <w:rFonts w:ascii="Arial" w:hAnsi="Arial"/>
          <w:sz w:val="20"/>
        </w:rPr>
        <w:t>, internal hair, etc.)</w:t>
      </w:r>
    </w:p>
    <w:p w14:paraId="101AF9B9"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2.8 Sexual and Reproductive Health</w:t>
      </w:r>
      <w:r w:rsidRPr="00AF440D">
        <w:rPr>
          <w:rFonts w:ascii="Arial" w:hAnsi="Arial"/>
          <w:i/>
          <w:iCs/>
          <w:sz w:val="20"/>
          <w:szCs w:val="20"/>
        </w:rPr>
        <w:t>:</w:t>
      </w:r>
      <w:r w:rsidRPr="00AF440D">
        <w:rPr>
          <w:rFonts w:ascii="Arial" w:hAnsi="Arial"/>
          <w:sz w:val="20"/>
          <w:szCs w:val="20"/>
        </w:rPr>
        <w:t xml:space="preserve"> All students will demonstrate basic knowledge of:</w:t>
      </w:r>
    </w:p>
    <w:p w14:paraId="75EAF2EA" w14:textId="77777777" w:rsidR="00EF10D8" w:rsidRPr="00AF440D" w:rsidRDefault="00EF10D8" w:rsidP="00EF10D8">
      <w:pPr>
        <w:spacing w:after="240" w:line="360" w:lineRule="auto"/>
        <w:ind w:left="720"/>
        <w:rPr>
          <w:rFonts w:ascii="Arial" w:eastAsia="Arial" w:hAnsi="Arial" w:cs="Arial"/>
          <w:sz w:val="20"/>
          <w:szCs w:val="20"/>
        </w:rPr>
      </w:pPr>
      <w:r w:rsidRPr="00AF440D">
        <w:rPr>
          <w:rFonts w:ascii="Arial" w:hAnsi="Arial"/>
          <w:sz w:val="20"/>
        </w:rPr>
        <w:t xml:space="preserve">2.8.1 </w:t>
      </w:r>
      <w:r w:rsidRPr="00AF440D">
        <w:rPr>
          <w:rFonts w:ascii="Arial" w:hAnsi="Arial"/>
          <w:sz w:val="20"/>
          <w:szCs w:val="20"/>
        </w:rPr>
        <w:t xml:space="preserve">    Sexual health for TGD patients.</w:t>
      </w:r>
    </w:p>
    <w:p w14:paraId="5175EA80" w14:textId="77777777" w:rsidR="00EF10D8" w:rsidRPr="00AF440D" w:rsidRDefault="00EF10D8" w:rsidP="00EF10D8">
      <w:pPr>
        <w:spacing w:after="240" w:line="360" w:lineRule="auto"/>
        <w:ind w:left="1442" w:hanging="722"/>
        <w:rPr>
          <w:rFonts w:ascii="Arial" w:eastAsia="Arial" w:hAnsi="Arial" w:cs="Arial"/>
          <w:sz w:val="20"/>
          <w:szCs w:val="20"/>
        </w:rPr>
      </w:pPr>
      <w:r w:rsidRPr="00AF440D">
        <w:rPr>
          <w:rFonts w:ascii="Arial" w:hAnsi="Arial"/>
          <w:sz w:val="20"/>
        </w:rPr>
        <w:t xml:space="preserve">2.8.2 </w:t>
      </w:r>
      <w:r w:rsidRPr="00AF440D">
        <w:rPr>
          <w:rFonts w:ascii="Arial" w:hAnsi="Arial"/>
          <w:sz w:val="20"/>
          <w:szCs w:val="20"/>
        </w:rPr>
        <w:t xml:space="preserve">    contraceptive and reproductive options for TGD patients.</w:t>
      </w:r>
    </w:p>
    <w:p w14:paraId="33B21521" w14:textId="77777777" w:rsidR="00EF10D8" w:rsidRPr="00AF440D" w:rsidRDefault="00EF10D8" w:rsidP="00EF10D8">
      <w:pPr>
        <w:spacing w:after="240" w:line="360" w:lineRule="auto"/>
        <w:ind w:left="1442" w:hanging="722"/>
        <w:rPr>
          <w:rFonts w:ascii="Arial" w:eastAsia="Arial" w:hAnsi="Arial" w:cs="Arial"/>
          <w:sz w:val="20"/>
          <w:szCs w:val="20"/>
        </w:rPr>
      </w:pPr>
      <w:r w:rsidRPr="00AF440D">
        <w:rPr>
          <w:rFonts w:ascii="Arial" w:hAnsi="Arial"/>
          <w:sz w:val="20"/>
        </w:rPr>
        <w:t xml:space="preserve">2.8.3 </w:t>
      </w:r>
      <w:r w:rsidRPr="00AF440D">
        <w:rPr>
          <w:rFonts w:ascii="Arial" w:hAnsi="Arial"/>
          <w:sz w:val="20"/>
          <w:szCs w:val="20"/>
        </w:rPr>
        <w:t xml:space="preserve">    barriers that TGD people face in terms of reproductive support and care.</w:t>
      </w:r>
    </w:p>
    <w:p w14:paraId="51E16AA7"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2.9 Routine Primary Care</w:t>
      </w:r>
      <w:r w:rsidRPr="00AF440D">
        <w:rPr>
          <w:rFonts w:ascii="Arial" w:hAnsi="Arial"/>
          <w:i/>
          <w:iCs/>
          <w:sz w:val="20"/>
          <w:szCs w:val="20"/>
        </w:rPr>
        <w:t xml:space="preserve">: </w:t>
      </w:r>
      <w:r w:rsidRPr="00AF440D">
        <w:rPr>
          <w:rFonts w:ascii="Arial" w:hAnsi="Arial"/>
          <w:sz w:val="20"/>
          <w:szCs w:val="20"/>
        </w:rPr>
        <w:t>All students will have a clear understanding of:</w:t>
      </w:r>
    </w:p>
    <w:p w14:paraId="4FC57670" w14:textId="77777777" w:rsidR="00EF10D8" w:rsidRPr="00AF440D" w:rsidRDefault="00EF10D8" w:rsidP="00EF10D8">
      <w:pPr>
        <w:spacing w:after="240" w:line="360" w:lineRule="auto"/>
        <w:ind w:left="1449" w:hanging="729"/>
        <w:rPr>
          <w:rFonts w:ascii="Arial" w:eastAsia="Arial" w:hAnsi="Arial" w:cs="Arial"/>
          <w:sz w:val="20"/>
          <w:szCs w:val="20"/>
        </w:rPr>
      </w:pPr>
      <w:r w:rsidRPr="00AF440D">
        <w:rPr>
          <w:rFonts w:ascii="Arial" w:hAnsi="Arial"/>
          <w:sz w:val="20"/>
        </w:rPr>
        <w:t xml:space="preserve">2.9.1 </w:t>
      </w:r>
      <w:r w:rsidRPr="00AF440D">
        <w:rPr>
          <w:rFonts w:ascii="Arial" w:hAnsi="Arial"/>
          <w:sz w:val="20"/>
          <w:szCs w:val="20"/>
        </w:rPr>
        <w:t xml:space="preserve">    The role of health care providers and other office/hospital staff in providing a safe environment for TGD patients.</w:t>
      </w:r>
    </w:p>
    <w:p w14:paraId="655D847F" w14:textId="77777777" w:rsidR="00EF10D8" w:rsidRPr="00AF440D" w:rsidRDefault="00EF10D8" w:rsidP="00EF10D8">
      <w:pPr>
        <w:numPr>
          <w:ilvl w:val="2"/>
          <w:numId w:val="4"/>
        </w:numPr>
        <w:spacing w:after="240" w:line="360" w:lineRule="auto"/>
        <w:rPr>
          <w:rFonts w:ascii="Arial" w:eastAsiaTheme="minorHAnsi" w:hAnsi="Arial"/>
          <w:sz w:val="20"/>
          <w:szCs w:val="20"/>
        </w:rPr>
      </w:pPr>
      <w:r w:rsidRPr="00AF440D">
        <w:rPr>
          <w:rFonts w:ascii="Arial" w:eastAsiaTheme="minorHAnsi" w:hAnsi="Arial"/>
          <w:sz w:val="20"/>
          <w:szCs w:val="20"/>
        </w:rPr>
        <w:t>The role of the family physician in prescribing and maintaining hormone therapy for TGD patients.</w:t>
      </w:r>
    </w:p>
    <w:p w14:paraId="4FB0E5DC" w14:textId="77777777" w:rsidR="00EF10D8" w:rsidRPr="00AF440D" w:rsidRDefault="00EF10D8" w:rsidP="00EF10D8">
      <w:pPr>
        <w:numPr>
          <w:ilvl w:val="2"/>
          <w:numId w:val="4"/>
        </w:numPr>
        <w:spacing w:after="240" w:line="360" w:lineRule="auto"/>
        <w:rPr>
          <w:rFonts w:ascii="Arial" w:eastAsiaTheme="minorHAnsi" w:hAnsi="Arial"/>
          <w:sz w:val="20"/>
          <w:szCs w:val="20"/>
        </w:rPr>
      </w:pPr>
      <w:r w:rsidRPr="00AF440D">
        <w:rPr>
          <w:rFonts w:ascii="Arial" w:eastAsiaTheme="minorHAnsi" w:hAnsi="Arial" w:cs="Arial"/>
          <w:sz w:val="20"/>
          <w:szCs w:val="20"/>
        </w:rPr>
        <w:t>Evolving treatments</w:t>
      </w:r>
      <w:r w:rsidRPr="00AF440D">
        <w:rPr>
          <w:rFonts w:ascii="Arial" w:eastAsiaTheme="minorHAnsi" w:hAnsi="Arial"/>
          <w:sz w:val="20"/>
          <w:szCs w:val="20"/>
        </w:rPr>
        <w:t xml:space="preserve"> related to aging and infirmity </w:t>
      </w:r>
      <w:r w:rsidRPr="00AF440D">
        <w:rPr>
          <w:rFonts w:ascii="Arial" w:eastAsiaTheme="minorHAnsi" w:hAnsi="Arial" w:cs="Arial"/>
          <w:sz w:val="20"/>
          <w:szCs w:val="20"/>
        </w:rPr>
        <w:t>of</w:t>
      </w:r>
      <w:r w:rsidRPr="00AF440D">
        <w:rPr>
          <w:rFonts w:ascii="Arial" w:eastAsiaTheme="minorHAnsi" w:hAnsi="Arial"/>
          <w:sz w:val="20"/>
          <w:szCs w:val="20"/>
        </w:rPr>
        <w:t xml:space="preserve"> TGD patients. </w:t>
      </w:r>
    </w:p>
    <w:p w14:paraId="506F0E13" w14:textId="77777777" w:rsidR="00EF10D8" w:rsidRPr="00AF440D" w:rsidRDefault="00EF10D8" w:rsidP="00EF10D8">
      <w:pPr>
        <w:numPr>
          <w:ilvl w:val="2"/>
          <w:numId w:val="4"/>
        </w:numPr>
        <w:spacing w:after="240" w:line="360" w:lineRule="auto"/>
        <w:rPr>
          <w:rFonts w:ascii="Arial" w:eastAsiaTheme="minorHAnsi" w:hAnsi="Arial"/>
          <w:sz w:val="20"/>
          <w:szCs w:val="20"/>
        </w:rPr>
      </w:pPr>
      <w:r w:rsidRPr="00AF440D">
        <w:rPr>
          <w:rFonts w:ascii="Arial" w:eastAsiaTheme="minorHAnsi" w:hAnsi="Arial"/>
          <w:sz w:val="20"/>
          <w:szCs w:val="20"/>
        </w:rPr>
        <w:t xml:space="preserve">The need to take increased care in routine procedures that can be particularly traumatic for TGD patients, such as pelvic exams, </w:t>
      </w:r>
      <w:r w:rsidRPr="00AF440D">
        <w:rPr>
          <w:rFonts w:ascii="Arial" w:eastAsiaTheme="minorHAnsi" w:hAnsi="Arial" w:cs="Arial"/>
          <w:sz w:val="20"/>
          <w:szCs w:val="20"/>
        </w:rPr>
        <w:t xml:space="preserve">pap smears, </w:t>
      </w:r>
      <w:r w:rsidRPr="00AF440D">
        <w:rPr>
          <w:rFonts w:ascii="Arial" w:eastAsiaTheme="minorHAnsi" w:hAnsi="Arial"/>
          <w:sz w:val="20"/>
          <w:szCs w:val="20"/>
        </w:rPr>
        <w:t>prostate exams</w:t>
      </w:r>
      <w:r w:rsidRPr="00AF440D">
        <w:rPr>
          <w:rFonts w:ascii="Arial" w:eastAsiaTheme="minorHAnsi" w:hAnsi="Arial" w:cs="Arial"/>
          <w:sz w:val="20"/>
          <w:szCs w:val="20"/>
        </w:rPr>
        <w:t>, STI screening</w:t>
      </w:r>
      <w:r w:rsidRPr="00AF440D">
        <w:rPr>
          <w:rFonts w:ascii="Arial" w:eastAsiaTheme="minorHAnsi" w:hAnsi="Arial"/>
          <w:sz w:val="20"/>
          <w:szCs w:val="20"/>
        </w:rPr>
        <w:t>, mammograms, and other procedures that deal with reproductive and sexual anatomy, and how to handle potential adverse reactions to such procedures.</w:t>
      </w:r>
    </w:p>
    <w:p w14:paraId="4F7BD0FC" w14:textId="77777777" w:rsidR="00EF10D8" w:rsidRPr="00AF440D" w:rsidRDefault="00EF10D8" w:rsidP="00EF10D8">
      <w:pPr>
        <w:spacing w:after="240" w:line="360" w:lineRule="auto"/>
        <w:ind w:left="720"/>
        <w:rPr>
          <w:rFonts w:ascii="Arial" w:eastAsia="Arial" w:hAnsi="Arial" w:cs="Arial"/>
          <w:sz w:val="20"/>
          <w:szCs w:val="20"/>
        </w:rPr>
      </w:pPr>
      <w:r w:rsidRPr="00AF440D">
        <w:rPr>
          <w:rFonts w:ascii="Arial" w:hAnsi="Arial"/>
          <w:sz w:val="20"/>
        </w:rPr>
        <w:t xml:space="preserve">2.9.4  </w:t>
      </w:r>
      <w:r w:rsidRPr="00AF440D">
        <w:rPr>
          <w:rFonts w:ascii="Arial" w:hAnsi="Arial"/>
          <w:sz w:val="20"/>
          <w:szCs w:val="20"/>
        </w:rPr>
        <w:t xml:space="preserve">   How to take a gender-inclusive history.</w:t>
      </w:r>
    </w:p>
    <w:p w14:paraId="5C0D2478" w14:textId="77777777" w:rsidR="00EF10D8" w:rsidRPr="00AF440D" w:rsidRDefault="00EF10D8" w:rsidP="00EF10D8">
      <w:pPr>
        <w:spacing w:after="240" w:line="360" w:lineRule="auto"/>
        <w:ind w:left="1418" w:hanging="709"/>
        <w:rPr>
          <w:rFonts w:ascii="Arial" w:hAnsi="Arial" w:cs="Arial"/>
          <w:sz w:val="20"/>
          <w:szCs w:val="20"/>
        </w:rPr>
      </w:pPr>
      <w:r w:rsidRPr="00AF440D">
        <w:rPr>
          <w:rFonts w:ascii="Arial" w:hAnsi="Arial"/>
          <w:sz w:val="20"/>
        </w:rPr>
        <w:t>2.9.5     How to complete a gender-affirming physical exam.</w:t>
      </w:r>
    </w:p>
    <w:p w14:paraId="7F3CF006" w14:textId="77777777" w:rsidR="00EF10D8" w:rsidRPr="00AF440D" w:rsidRDefault="00EF10D8" w:rsidP="00EF10D8">
      <w:pPr>
        <w:spacing w:after="240" w:line="360" w:lineRule="auto"/>
        <w:rPr>
          <w:rFonts w:ascii="Arial" w:eastAsiaTheme="minorHAnsi" w:hAnsi="Arial"/>
          <w:sz w:val="20"/>
          <w:szCs w:val="20"/>
        </w:rPr>
      </w:pPr>
    </w:p>
    <w:p w14:paraId="5FD10D9D" w14:textId="77777777" w:rsidR="00EF10D8" w:rsidRPr="00AF440D" w:rsidRDefault="00EF10D8" w:rsidP="00EF10D8">
      <w:pPr>
        <w:pStyle w:val="Lijstalinea"/>
        <w:numPr>
          <w:ilvl w:val="0"/>
          <w:numId w:val="2"/>
        </w:numPr>
        <w:spacing w:after="240" w:line="360" w:lineRule="auto"/>
        <w:contextualSpacing w:val="0"/>
        <w:rPr>
          <w:rFonts w:ascii="Arial" w:eastAsia="Arial" w:hAnsi="Arial" w:cs="Arial"/>
          <w:b/>
          <w:bCs/>
          <w:sz w:val="20"/>
          <w:szCs w:val="20"/>
        </w:rPr>
      </w:pPr>
      <w:r w:rsidRPr="00AF440D">
        <w:rPr>
          <w:rFonts w:ascii="Arial" w:hAnsi="Arial"/>
          <w:b/>
          <w:sz w:val="20"/>
        </w:rPr>
        <w:t>Teaching Principles</w:t>
      </w:r>
    </w:p>
    <w:p w14:paraId="72042E8D" w14:textId="77777777" w:rsidR="00EF10D8" w:rsidRPr="00AF440D" w:rsidRDefault="00EF10D8" w:rsidP="00EF10D8">
      <w:pPr>
        <w:numPr>
          <w:ilvl w:val="1"/>
          <w:numId w:val="2"/>
        </w:numPr>
        <w:spacing w:after="240" w:line="360" w:lineRule="auto"/>
        <w:rPr>
          <w:rFonts w:ascii="Arial" w:eastAsiaTheme="minorHAnsi" w:hAnsi="Arial"/>
          <w:i/>
          <w:iCs/>
          <w:sz w:val="20"/>
          <w:szCs w:val="20"/>
        </w:rPr>
      </w:pPr>
      <w:r w:rsidRPr="00AF440D">
        <w:rPr>
          <w:rFonts w:ascii="Arial" w:eastAsiaTheme="minorHAnsi" w:hAnsi="Arial"/>
          <w:sz w:val="20"/>
          <w:szCs w:val="20"/>
        </w:rPr>
        <w:t>Teachers should be physicians or allied health professionals with direct knowledge in gender affirming primary care and/or transition related care, and TGD identified people who are able and willing to teach medical students.</w:t>
      </w:r>
    </w:p>
    <w:p w14:paraId="257AD45B" w14:textId="77777777" w:rsidR="00EF10D8" w:rsidRPr="00AF440D" w:rsidRDefault="00EF10D8" w:rsidP="00EF10D8">
      <w:pPr>
        <w:spacing w:after="240" w:line="360" w:lineRule="auto"/>
        <w:ind w:left="426" w:hanging="426"/>
        <w:rPr>
          <w:rFonts w:ascii="Arial" w:eastAsia="Arial" w:hAnsi="Arial" w:cs="Arial"/>
          <w:sz w:val="20"/>
          <w:szCs w:val="20"/>
        </w:rPr>
      </w:pPr>
      <w:r w:rsidRPr="00AF440D">
        <w:rPr>
          <w:rFonts w:ascii="Arial" w:hAnsi="Arial"/>
          <w:i/>
          <w:sz w:val="20"/>
        </w:rPr>
        <w:t xml:space="preserve">3.2  </w:t>
      </w:r>
      <w:r w:rsidRPr="00AF440D">
        <w:rPr>
          <w:rFonts w:ascii="Arial" w:hAnsi="Arial"/>
          <w:sz w:val="20"/>
        </w:rPr>
        <w:t xml:space="preserve">The time allocated </w:t>
      </w:r>
      <w:r w:rsidRPr="00AF440D">
        <w:rPr>
          <w:rFonts w:ascii="Arial" w:hAnsi="Arial"/>
          <w:sz w:val="20"/>
          <w:szCs w:val="20"/>
        </w:rPr>
        <w:t>TGD teaching time should be balanced with all other medical school curriculum demands.</w:t>
      </w:r>
    </w:p>
    <w:p w14:paraId="743167B8" w14:textId="77777777" w:rsidR="00EF10D8" w:rsidRPr="00AF440D" w:rsidRDefault="00EF10D8" w:rsidP="00EF10D8">
      <w:pPr>
        <w:spacing w:after="240" w:line="360" w:lineRule="auto"/>
        <w:rPr>
          <w:rFonts w:ascii="Arial" w:eastAsia="Arial" w:hAnsi="Arial" w:cs="Arial"/>
          <w:i/>
          <w:iCs/>
          <w:sz w:val="20"/>
          <w:szCs w:val="20"/>
        </w:rPr>
      </w:pPr>
      <w:r w:rsidRPr="00AF440D">
        <w:rPr>
          <w:rFonts w:ascii="Arial" w:hAnsi="Arial"/>
          <w:i/>
          <w:sz w:val="20"/>
        </w:rPr>
        <w:t>3.3 Learning environment and clinical exposure</w:t>
      </w:r>
      <w:r w:rsidRPr="00AF440D">
        <w:rPr>
          <w:rFonts w:ascii="Arial" w:hAnsi="Arial"/>
          <w:i/>
          <w:iCs/>
          <w:sz w:val="20"/>
          <w:szCs w:val="20"/>
        </w:rPr>
        <w:t>:</w:t>
      </w:r>
    </w:p>
    <w:p w14:paraId="2664F4AF" w14:textId="77777777" w:rsidR="00EF10D8" w:rsidRPr="00AF440D" w:rsidRDefault="00EF10D8" w:rsidP="00EF10D8">
      <w:pPr>
        <w:spacing w:after="240" w:line="360" w:lineRule="auto"/>
        <w:ind w:left="1276" w:hanging="556"/>
        <w:rPr>
          <w:rFonts w:ascii="Arial" w:eastAsia="Arial" w:hAnsi="Arial" w:cs="Arial"/>
          <w:sz w:val="20"/>
          <w:szCs w:val="20"/>
        </w:rPr>
      </w:pPr>
      <w:r w:rsidRPr="00AF440D">
        <w:rPr>
          <w:rFonts w:ascii="Arial" w:hAnsi="Arial"/>
          <w:sz w:val="20"/>
        </w:rPr>
        <w:lastRenderedPageBreak/>
        <w:t>3.3.1  TGD</w:t>
      </w:r>
      <w:r w:rsidRPr="00AF440D">
        <w:rPr>
          <w:rFonts w:ascii="Arial" w:hAnsi="Arial"/>
          <w:sz w:val="20"/>
          <w:szCs w:val="20"/>
        </w:rPr>
        <w:t xml:space="preserve"> content and experiences should be woven into the general medical school curriculum as well as targeted in TGD educational sessions.</w:t>
      </w:r>
    </w:p>
    <w:p w14:paraId="0A0B945A" w14:textId="77777777" w:rsidR="00EF10D8" w:rsidRPr="00AF440D" w:rsidRDefault="00EF10D8" w:rsidP="00EF10D8">
      <w:pPr>
        <w:spacing w:after="240" w:line="360" w:lineRule="auto"/>
        <w:ind w:left="1276" w:hanging="556"/>
        <w:rPr>
          <w:rFonts w:ascii="Arial" w:eastAsia="Arial" w:hAnsi="Arial" w:cs="Arial"/>
          <w:sz w:val="20"/>
          <w:szCs w:val="20"/>
        </w:rPr>
      </w:pPr>
      <w:r w:rsidRPr="00AF440D">
        <w:rPr>
          <w:rFonts w:ascii="Arial" w:hAnsi="Arial"/>
          <w:sz w:val="20"/>
        </w:rPr>
        <w:t>3.3.2  Small and intimate teaching/learning environments and face-to-face interactions are the best context in which to teach TGD material properly.</w:t>
      </w:r>
    </w:p>
    <w:p w14:paraId="7946EBB3" w14:textId="77777777" w:rsidR="00EF10D8" w:rsidRPr="00AF440D" w:rsidRDefault="00EF10D8" w:rsidP="00EF10D8">
      <w:pPr>
        <w:numPr>
          <w:ilvl w:val="1"/>
          <w:numId w:val="1"/>
        </w:numPr>
        <w:spacing w:after="240" w:line="360" w:lineRule="auto"/>
        <w:rPr>
          <w:rFonts w:ascii="Arial" w:eastAsiaTheme="minorHAnsi" w:hAnsi="Arial"/>
          <w:i/>
          <w:iCs/>
          <w:sz w:val="20"/>
          <w:szCs w:val="20"/>
        </w:rPr>
      </w:pPr>
      <w:r w:rsidRPr="00AF440D">
        <w:rPr>
          <w:rFonts w:ascii="Arial" w:eastAsiaTheme="minorHAnsi" w:hAnsi="Arial"/>
          <w:i/>
          <w:iCs/>
          <w:sz w:val="20"/>
          <w:szCs w:val="20"/>
        </w:rPr>
        <w:t>Student assessment and evaluation:</w:t>
      </w:r>
    </w:p>
    <w:p w14:paraId="30CD3C45" w14:textId="77777777" w:rsidR="00EF10D8" w:rsidRPr="00AF440D" w:rsidRDefault="00EF10D8" w:rsidP="00EF10D8">
      <w:pPr>
        <w:numPr>
          <w:ilvl w:val="2"/>
          <w:numId w:val="1"/>
        </w:numPr>
        <w:spacing w:after="240" w:line="360" w:lineRule="auto"/>
        <w:ind w:left="1276" w:hanging="567"/>
        <w:rPr>
          <w:rFonts w:ascii="Arial" w:eastAsiaTheme="minorHAnsi" w:hAnsi="Arial"/>
          <w:sz w:val="20"/>
          <w:szCs w:val="20"/>
        </w:rPr>
      </w:pPr>
      <w:r w:rsidRPr="00AF440D">
        <w:rPr>
          <w:rFonts w:ascii="Arial" w:eastAsiaTheme="minorHAnsi" w:hAnsi="Arial"/>
          <w:sz w:val="20"/>
          <w:szCs w:val="20"/>
        </w:rPr>
        <w:t xml:space="preserve">Students should not be </w:t>
      </w:r>
      <w:proofErr w:type="spellStart"/>
      <w:r w:rsidRPr="00AF440D">
        <w:rPr>
          <w:rFonts w:ascii="Arial" w:eastAsiaTheme="minorHAnsi" w:hAnsi="Arial"/>
          <w:sz w:val="20"/>
          <w:szCs w:val="20"/>
        </w:rPr>
        <w:t>summatively</w:t>
      </w:r>
      <w:proofErr w:type="spellEnd"/>
      <w:r w:rsidRPr="00AF440D">
        <w:rPr>
          <w:rFonts w:ascii="Arial" w:eastAsiaTheme="minorHAnsi" w:hAnsi="Arial"/>
          <w:sz w:val="20"/>
          <w:szCs w:val="20"/>
        </w:rPr>
        <w:t xml:space="preserve"> assessed in TGD learning sessions in order to promote student safety.</w:t>
      </w:r>
      <w:r w:rsidRPr="00AF440D">
        <w:rPr>
          <w:rFonts w:ascii="Arial" w:eastAsiaTheme="minorHAnsi" w:hAnsi="Arial" w:cs="Arial"/>
          <w:sz w:val="20"/>
          <w:szCs w:val="20"/>
        </w:rPr>
        <w:t xml:space="preserve"> </w:t>
      </w:r>
    </w:p>
    <w:p w14:paraId="4C8E01DA" w14:textId="77777777" w:rsidR="00EF10D8" w:rsidRPr="00AF440D" w:rsidRDefault="00EF10D8" w:rsidP="00EF10D8">
      <w:pPr>
        <w:numPr>
          <w:ilvl w:val="2"/>
          <w:numId w:val="1"/>
        </w:numPr>
        <w:spacing w:after="240" w:line="360" w:lineRule="auto"/>
        <w:ind w:left="1276" w:hanging="567"/>
        <w:rPr>
          <w:rFonts w:ascii="Arial" w:eastAsiaTheme="minorHAnsi" w:hAnsi="Arial"/>
          <w:sz w:val="20"/>
          <w:szCs w:val="20"/>
        </w:rPr>
      </w:pPr>
      <w:r w:rsidRPr="00AF440D">
        <w:rPr>
          <w:rFonts w:ascii="Arial" w:eastAsiaTheme="minorHAnsi" w:hAnsi="Arial"/>
          <w:sz w:val="20"/>
          <w:szCs w:val="20"/>
        </w:rPr>
        <w:t>TGD learning sessions should include student professionalism and ethics.</w:t>
      </w:r>
    </w:p>
    <w:p w14:paraId="7EE9D96A" w14:textId="77777777" w:rsidR="00EF10D8" w:rsidRPr="00AF440D" w:rsidRDefault="00EF10D8" w:rsidP="00EF10D8">
      <w:pPr>
        <w:numPr>
          <w:ilvl w:val="2"/>
          <w:numId w:val="1"/>
        </w:numPr>
        <w:spacing w:after="240" w:line="360" w:lineRule="auto"/>
        <w:ind w:left="1276" w:hanging="567"/>
        <w:rPr>
          <w:rFonts w:ascii="Arial" w:eastAsiaTheme="minorHAnsi" w:hAnsi="Arial"/>
          <w:sz w:val="20"/>
          <w:szCs w:val="20"/>
        </w:rPr>
      </w:pPr>
      <w:r w:rsidRPr="00AF440D">
        <w:rPr>
          <w:rFonts w:ascii="Arial" w:eastAsiaTheme="minorHAnsi" w:hAnsi="Arial"/>
          <w:sz w:val="20"/>
          <w:szCs w:val="20"/>
        </w:rPr>
        <w:t>Medical knowledge on TGD topics should be examined in summative exams.</w:t>
      </w:r>
    </w:p>
    <w:p w14:paraId="6C46B3D0" w14:textId="77777777" w:rsidR="00EF10D8" w:rsidRPr="00AF440D" w:rsidRDefault="00EF10D8" w:rsidP="00EF10D8">
      <w:pPr>
        <w:numPr>
          <w:ilvl w:val="2"/>
          <w:numId w:val="1"/>
        </w:numPr>
        <w:spacing w:after="240" w:line="360" w:lineRule="auto"/>
        <w:ind w:left="1276" w:hanging="567"/>
        <w:rPr>
          <w:rFonts w:ascii="Arial" w:eastAsiaTheme="minorHAnsi" w:hAnsi="Arial"/>
          <w:sz w:val="20"/>
          <w:szCs w:val="20"/>
        </w:rPr>
      </w:pPr>
      <w:r w:rsidRPr="00AF440D">
        <w:rPr>
          <w:rFonts w:ascii="Arial" w:eastAsiaTheme="minorHAnsi" w:hAnsi="Arial"/>
          <w:sz w:val="20"/>
          <w:szCs w:val="20"/>
        </w:rPr>
        <w:t>OSCE examinations can be used for evaluating TGD knowledge and skills but should be validated by members of the community that they portray.</w:t>
      </w:r>
    </w:p>
    <w:p w14:paraId="6F6D1996" w14:textId="77777777" w:rsidR="00EF10D8" w:rsidRPr="00AF440D" w:rsidRDefault="00EF10D8" w:rsidP="00EF10D8">
      <w:pPr>
        <w:numPr>
          <w:ilvl w:val="1"/>
          <w:numId w:val="1"/>
        </w:numPr>
        <w:spacing w:after="240" w:line="360" w:lineRule="auto"/>
        <w:rPr>
          <w:rFonts w:ascii="Arial" w:eastAsiaTheme="minorHAnsi" w:hAnsi="Arial"/>
          <w:sz w:val="20"/>
          <w:szCs w:val="20"/>
        </w:rPr>
      </w:pPr>
      <w:r w:rsidRPr="00AF440D">
        <w:rPr>
          <w:rFonts w:ascii="Arial" w:eastAsiaTheme="minorHAnsi" w:hAnsi="Arial"/>
          <w:i/>
          <w:iCs/>
          <w:sz w:val="20"/>
          <w:szCs w:val="20"/>
        </w:rPr>
        <w:t xml:space="preserve">Maintain currency and understanding of best practices: </w:t>
      </w:r>
      <w:r w:rsidRPr="00AF440D">
        <w:rPr>
          <w:rFonts w:ascii="Arial" w:eastAsiaTheme="minorHAnsi" w:hAnsi="Arial"/>
          <w:sz w:val="20"/>
          <w:szCs w:val="20"/>
        </w:rPr>
        <w:t>Undergraduate medical programs should continue to engage and learn from different TGD individuals and perspectives to increase understanding and to track changing and emerging concerns and their implications for healthcare delivery and training.</w:t>
      </w:r>
    </w:p>
    <w:p w14:paraId="477B8667" w14:textId="77777777" w:rsidR="009D5414" w:rsidRDefault="00883724">
      <w:bookmarkStart w:id="0" w:name="_GoBack"/>
      <w:bookmarkEnd w:id="0"/>
    </w:p>
    <w:sectPr w:rsidR="009D5414" w:rsidSect="00EF10D8">
      <w:foot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5187D" w14:textId="77777777" w:rsidR="00883724" w:rsidRDefault="00883724">
      <w:r>
        <w:separator/>
      </w:r>
    </w:p>
  </w:endnote>
  <w:endnote w:type="continuationSeparator" w:id="0">
    <w:p w14:paraId="73CB385D" w14:textId="77777777" w:rsidR="00883724" w:rsidRDefault="0088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656226510"/>
      <w:docPartObj>
        <w:docPartGallery w:val="Page Numbers (Bottom of Page)"/>
        <w:docPartUnique/>
      </w:docPartObj>
    </w:sdtPr>
    <w:sdtEndPr>
      <w:rPr>
        <w:noProof/>
      </w:rPr>
    </w:sdtEndPr>
    <w:sdtContent>
      <w:p w14:paraId="6E4FD2DD" w14:textId="77777777" w:rsidR="002036E4" w:rsidRPr="00787BCD" w:rsidRDefault="00EF10D8" w:rsidP="00787BCD">
        <w:pPr>
          <w:pStyle w:val="Voettekst"/>
          <w:jc w:val="right"/>
          <w:rPr>
            <w:rFonts w:ascii="Arial" w:hAnsi="Arial" w:cs="Arial"/>
            <w:sz w:val="18"/>
            <w:szCs w:val="18"/>
          </w:rPr>
        </w:pPr>
        <w:r>
          <w:rPr>
            <w:rFonts w:ascii="Arial" w:hAnsi="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0C3CEA">
          <w:rPr>
            <w:rFonts w:ascii="Arial" w:eastAsia="Arial" w:hAnsi="Arial" w:cs="Arial"/>
            <w:noProof/>
            <w:sz w:val="18"/>
            <w:szCs w:val="18"/>
          </w:rPr>
          <w:t>5</w:t>
        </w:r>
        <w:r>
          <w:rPr>
            <w:rFonts w:ascii="Arial" w:eastAsia="Arial" w:hAnsi="Arial" w:cs="Arial"/>
            <w:sz w:val="18"/>
            <w:szCs w:val="18"/>
          </w:rPr>
          <w:fldChar w:fldCharType="end"/>
        </w:r>
        <w:r>
          <w:rPr>
            <w:rFonts w:ascii="Arial" w:hAnsi="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0C3CEA">
          <w:rPr>
            <w:rFonts w:ascii="Arial" w:eastAsia="Arial" w:hAnsi="Arial" w:cs="Arial"/>
            <w:noProof/>
            <w:sz w:val="18"/>
            <w:szCs w:val="18"/>
          </w:rPr>
          <w:t>5</w:t>
        </w:r>
        <w:r>
          <w:rPr>
            <w:rFonts w:ascii="Arial" w:eastAsia="Arial" w:hAnsi="Arial" w:cs="Arial"/>
            <w:sz w:val="18"/>
            <w:szCs w:val="18"/>
          </w:rPr>
          <w:fldChar w:fldCharType="end"/>
        </w:r>
      </w:p>
    </w:sdtContent>
  </w:sdt>
  <w:p w14:paraId="07596D49" w14:textId="77777777" w:rsidR="002036E4" w:rsidRPr="00DA6B64" w:rsidRDefault="00883724">
    <w:pPr>
      <w:pStyle w:val="Voettekst"/>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6023E" w14:textId="77777777" w:rsidR="00883724" w:rsidRDefault="00883724">
      <w:r>
        <w:separator/>
      </w:r>
    </w:p>
  </w:footnote>
  <w:footnote w:type="continuationSeparator" w:id="0">
    <w:p w14:paraId="1D47BC5B" w14:textId="77777777" w:rsidR="00883724" w:rsidRDefault="00883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38E5" w14:textId="77777777" w:rsidR="002036E4" w:rsidRPr="00154028" w:rsidRDefault="00EF10D8">
    <w:pPr>
      <w:pStyle w:val="Koptekst"/>
      <w:rPr>
        <w:sz w:val="18"/>
        <w:szCs w:val="18"/>
      </w:rPr>
    </w:pPr>
    <w:r w:rsidRPr="00154028">
      <w:rPr>
        <w:sz w:val="18"/>
        <w:szCs w:val="18"/>
      </w:rPr>
      <w:t>PMED-D-21-00338-R1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551"/>
    <w:multiLevelType w:val="hybridMultilevel"/>
    <w:tmpl w:val="2FF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325E"/>
    <w:multiLevelType w:val="hybridMultilevel"/>
    <w:tmpl w:val="125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F3F56"/>
    <w:multiLevelType w:val="multilevel"/>
    <w:tmpl w:val="33882F16"/>
    <w:lvl w:ilvl="0">
      <w:start w:val="2"/>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AE4E17"/>
    <w:multiLevelType w:val="hybridMultilevel"/>
    <w:tmpl w:val="11C2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A12A6"/>
    <w:multiLevelType w:val="hybridMultilevel"/>
    <w:tmpl w:val="3BF4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025FC"/>
    <w:multiLevelType w:val="hybridMultilevel"/>
    <w:tmpl w:val="F4C8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509CC"/>
    <w:multiLevelType w:val="hybridMultilevel"/>
    <w:tmpl w:val="0E10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2355A"/>
    <w:multiLevelType w:val="hybridMultilevel"/>
    <w:tmpl w:val="136C61BC"/>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85E73"/>
    <w:multiLevelType w:val="multilevel"/>
    <w:tmpl w:val="39CE1786"/>
    <w:lvl w:ilvl="0">
      <w:start w:val="2"/>
      <w:numFmt w:val="decimal"/>
      <w:lvlText w:val="%1"/>
      <w:lvlJc w:val="left"/>
      <w:pPr>
        <w:ind w:left="440" w:hanging="440"/>
      </w:pPr>
      <w:rPr>
        <w:rFonts w:hint="default"/>
      </w:rPr>
    </w:lvl>
    <w:lvl w:ilvl="1">
      <w:start w:val="9"/>
      <w:numFmt w:val="decimal"/>
      <w:lvlText w:val="%1.%2"/>
      <w:lvlJc w:val="left"/>
      <w:pPr>
        <w:ind w:left="800" w:hanging="4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1830BB"/>
    <w:multiLevelType w:val="hybridMultilevel"/>
    <w:tmpl w:val="4C7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340D2"/>
    <w:multiLevelType w:val="hybridMultilevel"/>
    <w:tmpl w:val="EAC6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A5042"/>
    <w:multiLevelType w:val="hybridMultilevel"/>
    <w:tmpl w:val="4E3A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9328B"/>
    <w:multiLevelType w:val="hybridMultilevel"/>
    <w:tmpl w:val="7D86FD7A"/>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576AE"/>
    <w:multiLevelType w:val="hybridMultilevel"/>
    <w:tmpl w:val="7C1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E4950"/>
    <w:multiLevelType w:val="hybridMultilevel"/>
    <w:tmpl w:val="9B72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E3A34"/>
    <w:multiLevelType w:val="hybridMultilevel"/>
    <w:tmpl w:val="1CA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26A58"/>
    <w:multiLevelType w:val="hybridMultilevel"/>
    <w:tmpl w:val="767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A2F31"/>
    <w:multiLevelType w:val="multilevel"/>
    <w:tmpl w:val="1A0A3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6C4CAD"/>
    <w:multiLevelType w:val="hybridMultilevel"/>
    <w:tmpl w:val="87F8CFF0"/>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128A2"/>
    <w:multiLevelType w:val="hybridMultilevel"/>
    <w:tmpl w:val="30AE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1182F"/>
    <w:multiLevelType w:val="hybridMultilevel"/>
    <w:tmpl w:val="E34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64321"/>
    <w:multiLevelType w:val="hybridMultilevel"/>
    <w:tmpl w:val="111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C723CC"/>
    <w:multiLevelType w:val="multilevel"/>
    <w:tmpl w:val="1A0A3E1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E57619"/>
    <w:multiLevelType w:val="hybridMultilevel"/>
    <w:tmpl w:val="D236F63C"/>
    <w:lvl w:ilvl="0" w:tplc="9E26877E">
      <w:start w:val="15"/>
      <w:numFmt w:val="bullet"/>
      <w:lvlText w:val="-"/>
      <w:lvlJc w:val="left"/>
      <w:pPr>
        <w:ind w:left="4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D2651"/>
    <w:multiLevelType w:val="hybridMultilevel"/>
    <w:tmpl w:val="360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B032E3"/>
    <w:multiLevelType w:val="multilevel"/>
    <w:tmpl w:val="CD9090B0"/>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AC3223"/>
    <w:multiLevelType w:val="hybridMultilevel"/>
    <w:tmpl w:val="5BD8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97391"/>
    <w:multiLevelType w:val="hybridMultilevel"/>
    <w:tmpl w:val="BAF4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DE161E"/>
    <w:multiLevelType w:val="hybridMultilevel"/>
    <w:tmpl w:val="82FC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B0B04"/>
    <w:multiLevelType w:val="hybridMultilevel"/>
    <w:tmpl w:val="8A8C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D7D9B"/>
    <w:multiLevelType w:val="hybridMultilevel"/>
    <w:tmpl w:val="EE2A7A36"/>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D65AB"/>
    <w:multiLevelType w:val="hybridMultilevel"/>
    <w:tmpl w:val="3448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20433D"/>
    <w:multiLevelType w:val="hybridMultilevel"/>
    <w:tmpl w:val="728A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AC3D80"/>
    <w:multiLevelType w:val="hybridMultilevel"/>
    <w:tmpl w:val="0B10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CD1E8C"/>
    <w:multiLevelType w:val="hybridMultilevel"/>
    <w:tmpl w:val="2694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600E0"/>
    <w:multiLevelType w:val="hybridMultilevel"/>
    <w:tmpl w:val="9A9AA5BA"/>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D97E6D"/>
    <w:multiLevelType w:val="hybridMultilevel"/>
    <w:tmpl w:val="BE26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5"/>
  </w:num>
  <w:num w:numId="4">
    <w:abstractNumId w:val="8"/>
  </w:num>
  <w:num w:numId="5">
    <w:abstractNumId w:val="2"/>
  </w:num>
  <w:num w:numId="6">
    <w:abstractNumId w:val="16"/>
  </w:num>
  <w:num w:numId="7">
    <w:abstractNumId w:val="4"/>
  </w:num>
  <w:num w:numId="8">
    <w:abstractNumId w:val="11"/>
  </w:num>
  <w:num w:numId="9">
    <w:abstractNumId w:val="15"/>
  </w:num>
  <w:num w:numId="10">
    <w:abstractNumId w:val="26"/>
  </w:num>
  <w:num w:numId="11">
    <w:abstractNumId w:val="20"/>
  </w:num>
  <w:num w:numId="12">
    <w:abstractNumId w:val="19"/>
  </w:num>
  <w:num w:numId="13">
    <w:abstractNumId w:val="28"/>
  </w:num>
  <w:num w:numId="14">
    <w:abstractNumId w:val="14"/>
  </w:num>
  <w:num w:numId="15">
    <w:abstractNumId w:val="1"/>
  </w:num>
  <w:num w:numId="16">
    <w:abstractNumId w:val="21"/>
  </w:num>
  <w:num w:numId="17">
    <w:abstractNumId w:val="36"/>
  </w:num>
  <w:num w:numId="18">
    <w:abstractNumId w:val="5"/>
  </w:num>
  <w:num w:numId="19">
    <w:abstractNumId w:val="9"/>
  </w:num>
  <w:num w:numId="20">
    <w:abstractNumId w:val="6"/>
  </w:num>
  <w:num w:numId="21">
    <w:abstractNumId w:val="27"/>
  </w:num>
  <w:num w:numId="22">
    <w:abstractNumId w:val="33"/>
  </w:num>
  <w:num w:numId="23">
    <w:abstractNumId w:val="32"/>
  </w:num>
  <w:num w:numId="24">
    <w:abstractNumId w:val="31"/>
  </w:num>
  <w:num w:numId="25">
    <w:abstractNumId w:val="29"/>
  </w:num>
  <w:num w:numId="26">
    <w:abstractNumId w:val="13"/>
  </w:num>
  <w:num w:numId="27">
    <w:abstractNumId w:val="3"/>
  </w:num>
  <w:num w:numId="28">
    <w:abstractNumId w:val="24"/>
  </w:num>
  <w:num w:numId="29">
    <w:abstractNumId w:val="10"/>
  </w:num>
  <w:num w:numId="30">
    <w:abstractNumId w:val="0"/>
  </w:num>
  <w:num w:numId="31">
    <w:abstractNumId w:val="34"/>
  </w:num>
  <w:num w:numId="32">
    <w:abstractNumId w:val="35"/>
  </w:num>
  <w:num w:numId="33">
    <w:abstractNumId w:val="23"/>
  </w:num>
  <w:num w:numId="34">
    <w:abstractNumId w:val="7"/>
  </w:num>
  <w:num w:numId="35">
    <w:abstractNumId w:val="18"/>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D8"/>
    <w:rsid w:val="000C3CEA"/>
    <w:rsid w:val="002C33F1"/>
    <w:rsid w:val="00342017"/>
    <w:rsid w:val="003E2BB6"/>
    <w:rsid w:val="00497ECB"/>
    <w:rsid w:val="00817906"/>
    <w:rsid w:val="008664C4"/>
    <w:rsid w:val="00883724"/>
    <w:rsid w:val="00964959"/>
    <w:rsid w:val="00AE7CAD"/>
    <w:rsid w:val="00CC0F89"/>
    <w:rsid w:val="00D135E6"/>
    <w:rsid w:val="00DB0DE0"/>
    <w:rsid w:val="00DE7150"/>
    <w:rsid w:val="00EF10D8"/>
    <w:rsid w:val="00F2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CF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10D8"/>
    <w:rPr>
      <w:rFonts w:ascii="Times New Roman" w:eastAsia="Times New Roman" w:hAnsi="Times New Roman" w:cs="Times New Roman"/>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F10D8"/>
    <w:pPr>
      <w:tabs>
        <w:tab w:val="center" w:pos="4320"/>
        <w:tab w:val="right" w:pos="8640"/>
      </w:tabs>
    </w:pPr>
    <w:rPr>
      <w:sz w:val="20"/>
      <w:szCs w:val="20"/>
      <w:lang w:val="en-US"/>
    </w:rPr>
  </w:style>
  <w:style w:type="character" w:customStyle="1" w:styleId="VoettekstChar">
    <w:name w:val="Voettekst Char"/>
    <w:basedOn w:val="Standaardalinea-lettertype"/>
    <w:link w:val="Voettekst"/>
    <w:uiPriority w:val="99"/>
    <w:rsid w:val="00EF10D8"/>
    <w:rPr>
      <w:rFonts w:ascii="Times New Roman" w:eastAsia="Times New Roman" w:hAnsi="Times New Roman" w:cs="Times New Roman"/>
      <w:sz w:val="20"/>
      <w:szCs w:val="20"/>
    </w:rPr>
  </w:style>
  <w:style w:type="paragraph" w:styleId="Lijstalinea">
    <w:name w:val="List Paragraph"/>
    <w:basedOn w:val="Standaard"/>
    <w:uiPriority w:val="34"/>
    <w:qFormat/>
    <w:rsid w:val="00EF10D8"/>
    <w:pPr>
      <w:spacing w:after="160" w:line="259" w:lineRule="auto"/>
      <w:ind w:left="720"/>
      <w:contextualSpacing/>
    </w:pPr>
    <w:rPr>
      <w:rFonts w:asciiTheme="minorHAnsi" w:eastAsiaTheme="minorHAnsi" w:hAnsiTheme="minorHAnsi" w:cstheme="minorBidi"/>
      <w:sz w:val="22"/>
      <w:szCs w:val="22"/>
    </w:rPr>
  </w:style>
  <w:style w:type="paragraph" w:styleId="Koptekst">
    <w:name w:val="header"/>
    <w:basedOn w:val="Standaard"/>
    <w:link w:val="KoptekstChar"/>
    <w:uiPriority w:val="99"/>
    <w:unhideWhenUsed/>
    <w:rsid w:val="00EF10D8"/>
    <w:pPr>
      <w:tabs>
        <w:tab w:val="center" w:pos="4680"/>
        <w:tab w:val="right" w:pos="9360"/>
      </w:tabs>
    </w:pPr>
    <w:rPr>
      <w:rFonts w:asciiTheme="minorHAnsi" w:eastAsiaTheme="minorHAnsi" w:hAnsiTheme="minorHAnsi" w:cstheme="minorBidi"/>
      <w:sz w:val="22"/>
      <w:szCs w:val="22"/>
    </w:rPr>
  </w:style>
  <w:style w:type="character" w:customStyle="1" w:styleId="KoptekstChar">
    <w:name w:val="Koptekst Char"/>
    <w:basedOn w:val="Standaardalinea-lettertype"/>
    <w:link w:val="Koptekst"/>
    <w:uiPriority w:val="99"/>
    <w:rsid w:val="00EF10D8"/>
    <w:rPr>
      <w:sz w:val="22"/>
      <w:szCs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10D8"/>
    <w:rPr>
      <w:rFonts w:ascii="Times New Roman" w:eastAsia="Times New Roman" w:hAnsi="Times New Roman" w:cs="Times New Roman"/>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F10D8"/>
    <w:pPr>
      <w:tabs>
        <w:tab w:val="center" w:pos="4320"/>
        <w:tab w:val="right" w:pos="8640"/>
      </w:tabs>
    </w:pPr>
    <w:rPr>
      <w:sz w:val="20"/>
      <w:szCs w:val="20"/>
      <w:lang w:val="en-US"/>
    </w:rPr>
  </w:style>
  <w:style w:type="character" w:customStyle="1" w:styleId="VoettekstChar">
    <w:name w:val="Voettekst Char"/>
    <w:basedOn w:val="Standaardalinea-lettertype"/>
    <w:link w:val="Voettekst"/>
    <w:uiPriority w:val="99"/>
    <w:rsid w:val="00EF10D8"/>
    <w:rPr>
      <w:rFonts w:ascii="Times New Roman" w:eastAsia="Times New Roman" w:hAnsi="Times New Roman" w:cs="Times New Roman"/>
      <w:sz w:val="20"/>
      <w:szCs w:val="20"/>
    </w:rPr>
  </w:style>
  <w:style w:type="paragraph" w:styleId="Lijstalinea">
    <w:name w:val="List Paragraph"/>
    <w:basedOn w:val="Standaard"/>
    <w:uiPriority w:val="34"/>
    <w:qFormat/>
    <w:rsid w:val="00EF10D8"/>
    <w:pPr>
      <w:spacing w:after="160" w:line="259" w:lineRule="auto"/>
      <w:ind w:left="720"/>
      <w:contextualSpacing/>
    </w:pPr>
    <w:rPr>
      <w:rFonts w:asciiTheme="minorHAnsi" w:eastAsiaTheme="minorHAnsi" w:hAnsiTheme="minorHAnsi" w:cstheme="minorBidi"/>
      <w:sz w:val="22"/>
      <w:szCs w:val="22"/>
    </w:rPr>
  </w:style>
  <w:style w:type="paragraph" w:styleId="Koptekst">
    <w:name w:val="header"/>
    <w:basedOn w:val="Standaard"/>
    <w:link w:val="KoptekstChar"/>
    <w:uiPriority w:val="99"/>
    <w:unhideWhenUsed/>
    <w:rsid w:val="00EF10D8"/>
    <w:pPr>
      <w:tabs>
        <w:tab w:val="center" w:pos="4680"/>
        <w:tab w:val="right" w:pos="9360"/>
      </w:tabs>
    </w:pPr>
    <w:rPr>
      <w:rFonts w:asciiTheme="minorHAnsi" w:eastAsiaTheme="minorHAnsi" w:hAnsiTheme="minorHAnsi" w:cstheme="minorBidi"/>
      <w:sz w:val="22"/>
      <w:szCs w:val="22"/>
    </w:rPr>
  </w:style>
  <w:style w:type="character" w:customStyle="1" w:styleId="KoptekstChar">
    <w:name w:val="Koptekst Char"/>
    <w:basedOn w:val="Standaardalinea-lettertype"/>
    <w:link w:val="Koptekst"/>
    <w:uiPriority w:val="99"/>
    <w:rsid w:val="00EF10D8"/>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6364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Ellaway</dc:creator>
  <cp:keywords/>
  <dc:description/>
  <cp:lastModifiedBy>Helen</cp:lastModifiedBy>
  <cp:revision>3</cp:revision>
  <dcterms:created xsi:type="dcterms:W3CDTF">2021-09-14T13:50:00Z</dcterms:created>
  <dcterms:modified xsi:type="dcterms:W3CDTF">2021-09-14T13:51:00Z</dcterms:modified>
</cp:coreProperties>
</file>