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7A71" w14:textId="77777777" w:rsidR="00000000" w:rsidRDefault="00574B38">
      <w:pPr>
        <w:autoSpaceDE w:val="0"/>
        <w:autoSpaceDN w:val="0"/>
        <w:adjustRightInd w:val="0"/>
        <w:ind w:left="-540" w:right="-54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055ED6AB" wp14:editId="225E022A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772400" cy="10071100"/>
            <wp:effectExtent l="0" t="0" r="0" b="0"/>
            <wp:wrapNone/>
            <wp:docPr id="2" name="Picture 2" descr="sample_watermark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_watermark_2"/>
                    <pic:cNvPicPr>
                      <a:picLocks/>
                    </pic:cNvPicPr>
                  </pic:nvPicPr>
                  <pic:blipFill>
                    <a:blip r:embed="rId5">
                      <a:lum bright="84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E95E" w14:textId="77777777" w:rsidR="00000000" w:rsidRDefault="008F1D84">
      <w:pPr>
        <w:pStyle w:val="Heading2"/>
        <w:jc w:val="both"/>
      </w:pPr>
      <w:r>
        <w:t xml:space="preserve">Sample </w:t>
      </w:r>
      <w:proofErr w:type="spellStart"/>
      <w:r>
        <w:t>Epay</w:t>
      </w:r>
      <w:proofErr w:type="spellEnd"/>
      <w:r>
        <w:t xml:space="preserve"> Manager Office Memo</w:t>
      </w:r>
    </w:p>
    <w:p w14:paraId="0F4163FD" w14:textId="77777777" w:rsidR="00000000" w:rsidRDefault="008F1D84">
      <w:pPr>
        <w:autoSpaceDE w:val="0"/>
        <w:autoSpaceDN w:val="0"/>
        <w:adjustRightInd w:val="0"/>
        <w:ind w:left="-540" w:right="-540"/>
        <w:jc w:val="both"/>
        <w:rPr>
          <w:rFonts w:ascii="Helvetica" w:hAnsi="Helvetica"/>
          <w:sz w:val="17"/>
        </w:rPr>
      </w:pPr>
    </w:p>
    <w:p w14:paraId="5AA59429" w14:textId="77777777" w:rsidR="00000000" w:rsidRDefault="008F1D84">
      <w:pPr>
        <w:ind w:left="-540" w:right="-540"/>
        <w:jc w:val="both"/>
        <w:rPr>
          <w:rFonts w:ascii="Helvetica" w:hAnsi="Helvetica"/>
          <w:color w:val="000000"/>
          <w:sz w:val="20"/>
        </w:rPr>
      </w:pPr>
    </w:p>
    <w:p w14:paraId="1D31CC07" w14:textId="1CD76630" w:rsidR="00000000" w:rsidRDefault="008F1D84">
      <w:pPr>
        <w:ind w:left="-540" w:right="-540"/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Please be aware that our accounts payable system and procedures will change for all transactions created after </w:t>
      </w:r>
      <w:r>
        <w:rPr>
          <w:rFonts w:ascii="Helvetica" w:hAnsi="Helvetica"/>
          <w:b/>
          <w:color w:val="000000"/>
          <w:sz w:val="20"/>
          <w:u w:val="single"/>
        </w:rPr>
        <w:t>DATE</w:t>
      </w:r>
      <w:r>
        <w:rPr>
          <w:rFonts w:ascii="Helvetica" w:hAnsi="Helvetica"/>
          <w:color w:val="000000"/>
          <w:sz w:val="20"/>
        </w:rPr>
        <w:t>.</w:t>
      </w:r>
      <w:r w:rsidR="00574B38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No other form of payment will be made on transactions created after this date, unless other arrangemen</w:t>
      </w:r>
      <w:r>
        <w:rPr>
          <w:rFonts w:ascii="Helvetica" w:hAnsi="Helvetica"/>
          <w:color w:val="000000"/>
          <w:sz w:val="20"/>
        </w:rPr>
        <w:t xml:space="preserve">ts are approved by </w:t>
      </w:r>
      <w:r>
        <w:rPr>
          <w:rFonts w:ascii="Helvetica" w:hAnsi="Helvetica"/>
          <w:b/>
          <w:color w:val="000000"/>
          <w:sz w:val="20"/>
          <w:u w:val="single"/>
        </w:rPr>
        <w:t>COMPANY REPRESENTATIVE</w:t>
      </w:r>
      <w:r>
        <w:rPr>
          <w:rFonts w:ascii="Helvetica" w:hAnsi="Helvetica"/>
          <w:color w:val="000000"/>
          <w:sz w:val="20"/>
          <w:u w:val="single"/>
        </w:rPr>
        <w:t>.</w:t>
      </w:r>
      <w:r w:rsidR="00574B38">
        <w:rPr>
          <w:rFonts w:ascii="Helvetica" w:hAnsi="Helvetica"/>
          <w:color w:val="000000"/>
          <w:sz w:val="20"/>
        </w:rPr>
        <w:t xml:space="preserve">  </w:t>
      </w:r>
      <w:r>
        <w:rPr>
          <w:rFonts w:ascii="Helvetica" w:hAnsi="Helvetica"/>
          <w:color w:val="000000"/>
          <w:sz w:val="20"/>
        </w:rPr>
        <w:t xml:space="preserve"> </w:t>
      </w:r>
    </w:p>
    <w:p w14:paraId="1A6CE7EF" w14:textId="77777777" w:rsidR="00000000" w:rsidRDefault="008F1D84">
      <w:pPr>
        <w:ind w:left="-540" w:right="-540"/>
        <w:jc w:val="both"/>
        <w:rPr>
          <w:rFonts w:ascii="Helvetica" w:hAnsi="Helvetica"/>
          <w:color w:val="000000"/>
          <w:sz w:val="20"/>
        </w:rPr>
      </w:pPr>
    </w:p>
    <w:p w14:paraId="5F0A88ED" w14:textId="0B02DA65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color w:val="000000"/>
          <w:sz w:val="20"/>
        </w:rPr>
        <w:t xml:space="preserve">After this date, all freight payables will be processed electronically through </w:t>
      </w:r>
      <w:proofErr w:type="spellStart"/>
      <w:r>
        <w:rPr>
          <w:rFonts w:ascii="Helvetica" w:hAnsi="Helvetica"/>
          <w:color w:val="000000"/>
          <w:sz w:val="20"/>
        </w:rPr>
        <w:t>Epay</w:t>
      </w:r>
      <w:proofErr w:type="spellEnd"/>
      <w:r>
        <w:rPr>
          <w:rFonts w:ascii="Helvetica" w:hAnsi="Helvetica"/>
          <w:color w:val="000000"/>
          <w:sz w:val="20"/>
        </w:rPr>
        <w:t xml:space="preserve"> Manager and carriers will no longer be required to mail invoices or proof of delivery documents to our office.</w:t>
      </w:r>
      <w:r w:rsidR="00574B38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Instead, al</w:t>
      </w:r>
      <w:r>
        <w:rPr>
          <w:rFonts w:ascii="Helvetica" w:hAnsi="Helvetica"/>
          <w:color w:val="000000"/>
          <w:sz w:val="20"/>
        </w:rPr>
        <w:t>l invoices and proof of delivery documents will be created, reviewed and approved online.</w:t>
      </w:r>
      <w:r w:rsidR="00574B38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We believe this system will be of great benefit to our company, because it will reduce our processing time and costs and will contribute to the success of our</w:t>
      </w:r>
      <w:r>
        <w:rPr>
          <w:rFonts w:ascii="Helvetica" w:hAnsi="Helvetica"/>
          <w:sz w:val="20"/>
        </w:rPr>
        <w:t xml:space="preserve"> compan</w:t>
      </w:r>
      <w:r>
        <w:rPr>
          <w:rFonts w:ascii="Helvetica" w:hAnsi="Helvetica"/>
          <w:sz w:val="20"/>
        </w:rPr>
        <w:t>y.</w:t>
      </w:r>
    </w:p>
    <w:p w14:paraId="3233C26B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6B63FF1" w14:textId="536F30DB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Our carriers will benefit by having faster payment options (at our election), fewer processing days, direct deposit of funds and a complete view of the transaction through the payment cycle.</w:t>
      </w:r>
      <w:r w:rsidR="00574B38"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will allow us to reduce a carrier’s cost to process an </w:t>
      </w:r>
      <w:r>
        <w:rPr>
          <w:rFonts w:ascii="Helvetica" w:hAnsi="Helvetica"/>
          <w:sz w:val="20"/>
        </w:rPr>
        <w:t>invoice, reduce the turnaround time for invoices and provide additional payment options to our carriers.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Flexible payment terms and direct deposit are tools that can be utilized to induce a carrier to haul for our company, as an alternative to increasing </w:t>
      </w:r>
      <w:r>
        <w:rPr>
          <w:rFonts w:ascii="Helvetica" w:hAnsi="Helvetica"/>
          <w:sz w:val="20"/>
        </w:rPr>
        <w:t>a carrier’s rate.</w:t>
      </w:r>
      <w:r w:rsidR="00574B38">
        <w:rPr>
          <w:rFonts w:ascii="Helvetica" w:hAnsi="Helvetica"/>
          <w:sz w:val="20"/>
        </w:rPr>
        <w:t xml:space="preserve"> </w:t>
      </w:r>
    </w:p>
    <w:p w14:paraId="18BFB574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DA0DFC3" w14:textId="383BB00F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There are some important rules and procedures that everyone needs to be aware of.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The objective of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is to reduce our processing costs and at the same time make it more convenient and less costly for our carriers to receive settlem</w:t>
      </w:r>
      <w:r>
        <w:rPr>
          <w:rFonts w:ascii="Helvetica" w:hAnsi="Helvetica"/>
          <w:sz w:val="20"/>
        </w:rPr>
        <w:t>ent.</w:t>
      </w:r>
      <w:r w:rsidR="00574B38">
        <w:rPr>
          <w:rFonts w:ascii="Helvetica" w:hAnsi="Helvetica"/>
          <w:sz w:val="20"/>
        </w:rPr>
        <w:t xml:space="preserve"> </w:t>
      </w:r>
    </w:p>
    <w:p w14:paraId="6FB4ED4A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B002B98" w14:textId="0191642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Educating carriers about our billing procedures is the key to a successful implementation. If a carrier is unaware of our procedures, they will be more likely to send a traditional invoice and/or ignore the electronic invoice on their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list.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T</w:t>
      </w:r>
      <w:r>
        <w:rPr>
          <w:rFonts w:ascii="Helvetica" w:hAnsi="Helvetica"/>
          <w:sz w:val="20"/>
        </w:rPr>
        <w:t>o prevent this from occurring, all new carriers must sign and return the A/P procedures contract prior to hauling a shipment.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Furthermore, a reminder of the carrier’s requirements must be included on every rate agreement. </w:t>
      </w:r>
    </w:p>
    <w:p w14:paraId="20951580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12669A95" w14:textId="739C797C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Carriers will be required to re</w:t>
      </w:r>
      <w:r>
        <w:rPr>
          <w:rFonts w:ascii="Helvetica" w:hAnsi="Helvetica"/>
          <w:sz w:val="20"/>
        </w:rPr>
        <w:t xml:space="preserve">gister for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When the carrier registers, the user should check the box next to our company’s name to be added to our payee list.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The carrier must be activated on the payee list before any transaction can be exported to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>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If custom prefer</w:t>
      </w:r>
      <w:r>
        <w:rPr>
          <w:rFonts w:ascii="Helvetica" w:hAnsi="Helvetica"/>
          <w:sz w:val="20"/>
        </w:rPr>
        <w:t xml:space="preserve">ences are necessary, please modify the payee profile before activating the carrier. </w:t>
      </w:r>
    </w:p>
    <w:p w14:paraId="0544F9C2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422E40B9" w14:textId="36C6B79E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All transactions should be reviewed and approved for export to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within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hours of delivery. A transaction cannot be created in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 until the payee has regis</w:t>
      </w:r>
      <w:r>
        <w:rPr>
          <w:rFonts w:ascii="Helvetica" w:hAnsi="Helvetica"/>
          <w:sz w:val="20"/>
        </w:rPr>
        <w:t>tered.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Any carrier that has not completed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registration within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days of delivery should be contacted and reminded of the registration requirement. A notification email will be sent to our billing contacts after the carrier completes registration. </w:t>
      </w:r>
    </w:p>
    <w:p w14:paraId="0375CA5C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58E0D408" w14:textId="238C0D73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For invoices that require a proof of delivery, the POD must be faxed to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within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days of delivery.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If a carrier fails to comply, they should be contacted and reminded of the POD requirement.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In these instances, a carrier will not be permitted to su</w:t>
      </w:r>
      <w:r>
        <w:rPr>
          <w:rFonts w:ascii="Helvetica" w:hAnsi="Helvetica"/>
          <w:sz w:val="20"/>
        </w:rPr>
        <w:t>bmit an invoice without a POD attached.</w:t>
      </w:r>
      <w:r w:rsidR="00574B38">
        <w:rPr>
          <w:rFonts w:ascii="Helvetica" w:hAnsi="Helvetica"/>
          <w:sz w:val="20"/>
        </w:rPr>
        <w:t xml:space="preserve"> </w:t>
      </w:r>
    </w:p>
    <w:p w14:paraId="443321FB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78AB634F" w14:textId="2F726DAE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If a carrier has failed to submit an electronic invoice after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days, the carrier should be sent an additional reminder of their requirement using the Add Note feature in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>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This feature sends an email to the</w:t>
      </w:r>
      <w:r>
        <w:rPr>
          <w:rFonts w:ascii="Helvetica" w:hAnsi="Helvetica"/>
          <w:sz w:val="20"/>
        </w:rPr>
        <w:t xml:space="preserve"> carrier’s billing contact and records the note in the audit trail for historical purposes.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If a carrier is unresponsive, the carrier’s A/R department should be </w:t>
      </w:r>
      <w:r w:rsidR="0090659F">
        <w:rPr>
          <w:rFonts w:ascii="Helvetica" w:hAnsi="Helvetica"/>
          <w:sz w:val="20"/>
        </w:rPr>
        <w:t>contacted,</w:t>
      </w:r>
      <w:r>
        <w:rPr>
          <w:rFonts w:ascii="Helvetica" w:hAnsi="Helvetica"/>
          <w:sz w:val="20"/>
        </w:rPr>
        <w:t xml:space="preserve"> and the details of the conversation should be recorded in the audit trail using the </w:t>
      </w:r>
      <w:r>
        <w:rPr>
          <w:rFonts w:ascii="Helvetica" w:hAnsi="Helvetica"/>
          <w:sz w:val="20"/>
        </w:rPr>
        <w:t>Add Note feature.</w:t>
      </w:r>
      <w:r w:rsidR="00574B38">
        <w:rPr>
          <w:rFonts w:ascii="Helvetica" w:hAnsi="Helvetica"/>
          <w:sz w:val="20"/>
        </w:rPr>
        <w:t xml:space="preserve"> </w:t>
      </w:r>
    </w:p>
    <w:p w14:paraId="620DD8B0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483ED60B" w14:textId="41C6478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Invoices are automatically scheduled for payment based on the terms selected by the carrier and are calculated from the date the carrier electronically sent the invoice.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The payment date displayed on the invoice is the date funds are </w:t>
      </w:r>
      <w:r>
        <w:rPr>
          <w:rFonts w:ascii="Helvetica" w:hAnsi="Helvetica"/>
          <w:sz w:val="20"/>
        </w:rPr>
        <w:t>debited from our bank account.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The carrier’s account should be credited on the following business date. </w:t>
      </w:r>
    </w:p>
    <w:p w14:paraId="2DA6325F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5BE74033" w14:textId="7AAFD09D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  <w:r>
        <w:rPr>
          <w:rFonts w:ascii="Helvetica" w:hAnsi="Helvetica"/>
          <w:sz w:val="20"/>
        </w:rPr>
        <w:lastRenderedPageBreak/>
        <w:t xml:space="preserve">The following is a summary of our company’s accounts payable </w:t>
      </w:r>
      <w:r w:rsidR="0090659F">
        <w:rPr>
          <w:rFonts w:ascii="Helvetica" w:hAnsi="Helvetica"/>
          <w:sz w:val="20"/>
        </w:rPr>
        <w:t>procedures and</w:t>
      </w:r>
      <w:r>
        <w:rPr>
          <w:rFonts w:ascii="Helvetica" w:hAnsi="Helvetica"/>
          <w:sz w:val="20"/>
        </w:rPr>
        <w:t xml:space="preserve"> includes talking points to stress the benefits of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 to our c</w:t>
      </w:r>
      <w:r>
        <w:rPr>
          <w:rFonts w:ascii="Helvetica" w:hAnsi="Helvetica"/>
          <w:sz w:val="20"/>
        </w:rPr>
        <w:t xml:space="preserve">arriers. </w:t>
      </w:r>
    </w:p>
    <w:p w14:paraId="5196CEA0" w14:textId="58095FDF" w:rsidR="00000000" w:rsidRDefault="00574B38">
      <w:pPr>
        <w:ind w:left="-540"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B85C6E6" wp14:editId="3438CE52">
            <wp:simplePos x="0" y="0"/>
            <wp:positionH relativeFrom="column">
              <wp:posOffset>-1143000</wp:posOffset>
            </wp:positionH>
            <wp:positionV relativeFrom="paragraph">
              <wp:posOffset>-863600</wp:posOffset>
            </wp:positionV>
            <wp:extent cx="7772400" cy="10071100"/>
            <wp:effectExtent l="0" t="0" r="0" b="0"/>
            <wp:wrapNone/>
            <wp:docPr id="3" name="Picture 3" descr="sample_watermark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e_watermark_2"/>
                    <pic:cNvPicPr>
                      <a:picLocks/>
                    </pic:cNvPicPr>
                  </pic:nvPicPr>
                  <pic:blipFill>
                    <a:blip r:embed="rId5">
                      <a:lum bright="84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1B1C2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78D2CF5" w14:textId="77777777" w:rsidR="00000000" w:rsidRDefault="008F1D84">
      <w:pPr>
        <w:pStyle w:val="Heading1"/>
      </w:pPr>
      <w:r>
        <w:t>Summary of Procedures</w:t>
      </w:r>
    </w:p>
    <w:p w14:paraId="4E025F70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 company representative verbally explains the requirements and benefits of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</w:t>
      </w:r>
    </w:p>
    <w:p w14:paraId="4C141A83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Carrier signs and returns A/P procedures contract</w:t>
      </w:r>
    </w:p>
    <w:p w14:paraId="3A49F0BA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Carrier registers for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 and chooses to notify our company</w:t>
      </w:r>
    </w:p>
    <w:p w14:paraId="41A4E0F1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Carrier is re</w:t>
      </w:r>
      <w:r>
        <w:rPr>
          <w:rFonts w:ascii="Helvetica" w:hAnsi="Helvetica"/>
          <w:sz w:val="20"/>
        </w:rPr>
        <w:t xml:space="preserve">minded of registration requirement if it isn’t completed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hours after delivery</w:t>
      </w:r>
    </w:p>
    <w:p w14:paraId="6D56616E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Our company activates the carrier on the payee list after making any changes to their profile</w:t>
      </w:r>
    </w:p>
    <w:p w14:paraId="25E497AC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Transaction is reviewed and prepared for export to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within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hours of delive</w:t>
      </w:r>
      <w:r>
        <w:rPr>
          <w:rFonts w:ascii="Helvetica" w:hAnsi="Helvetica"/>
          <w:sz w:val="20"/>
        </w:rPr>
        <w:t>ry</w:t>
      </w:r>
    </w:p>
    <w:p w14:paraId="4D9B6BBD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 must be submitted to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within </w:t>
      </w:r>
      <w:r>
        <w:rPr>
          <w:rFonts w:ascii="Helvetica" w:hAnsi="Helvetica"/>
          <w:b/>
          <w:sz w:val="20"/>
          <w:u w:val="single"/>
        </w:rPr>
        <w:t>XX</w:t>
      </w:r>
      <w:r>
        <w:rPr>
          <w:rFonts w:ascii="Helvetica" w:hAnsi="Helvetica"/>
          <w:sz w:val="20"/>
        </w:rPr>
        <w:t xml:space="preserve"> days of delivery</w:t>
      </w:r>
    </w:p>
    <w:p w14:paraId="5E810BB9" w14:textId="77777777" w:rsidR="00000000" w:rsidRDefault="008F1D84">
      <w:pPr>
        <w:numPr>
          <w:ilvl w:val="0"/>
          <w:numId w:val="10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All notes and reminders should be sent through </w:t>
      </w:r>
      <w:proofErr w:type="spellStart"/>
      <w:r>
        <w:rPr>
          <w:rFonts w:ascii="Helvetica" w:hAnsi="Helvetica"/>
          <w:sz w:val="20"/>
        </w:rPr>
        <w:t>Epay’s</w:t>
      </w:r>
      <w:proofErr w:type="spellEnd"/>
      <w:r>
        <w:rPr>
          <w:rFonts w:ascii="Helvetica" w:hAnsi="Helvetica"/>
          <w:sz w:val="20"/>
        </w:rPr>
        <w:t xml:space="preserve"> Add Note feature</w:t>
      </w:r>
    </w:p>
    <w:p w14:paraId="17AB9EC9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2DF7520C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41365B6" w14:textId="77777777" w:rsidR="00000000" w:rsidRDefault="008F1D84">
      <w:pPr>
        <w:pStyle w:val="Heading1"/>
      </w:pPr>
      <w:r>
        <w:t>Talking Points</w:t>
      </w:r>
    </w:p>
    <w:p w14:paraId="7731B84D" w14:textId="77777777" w:rsidR="00000000" w:rsidRDefault="008F1D84">
      <w:pPr>
        <w:numPr>
          <w:ilvl w:val="0"/>
          <w:numId w:val="11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removes 6-10 days of mail time for the carrier (3-5 to mail the invoice, 3-5 to mail the check, plus ad</w:t>
      </w:r>
      <w:r>
        <w:rPr>
          <w:rFonts w:ascii="Helvetica" w:hAnsi="Helvetica"/>
          <w:sz w:val="20"/>
        </w:rPr>
        <w:t>ditional time to prepare a deposit and clear funds).</w:t>
      </w:r>
    </w:p>
    <w:p w14:paraId="49786339" w14:textId="77777777" w:rsidR="00000000" w:rsidRDefault="008F1D84">
      <w:pPr>
        <w:numPr>
          <w:ilvl w:val="0"/>
          <w:numId w:val="11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Flexible payment terms allow the carrier to accelerate receivables if and when it’s necessary, without affecting other invoices.</w:t>
      </w:r>
    </w:p>
    <w:p w14:paraId="2A836849" w14:textId="77777777" w:rsidR="00000000" w:rsidRDefault="008F1D84">
      <w:pPr>
        <w:numPr>
          <w:ilvl w:val="0"/>
          <w:numId w:val="11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Electronic invoicing saves the carrier up to $10-15 per invoice, since the</w:t>
      </w:r>
      <w:r>
        <w:rPr>
          <w:rFonts w:ascii="Helvetica" w:hAnsi="Helvetica"/>
          <w:sz w:val="20"/>
        </w:rPr>
        <w:t xml:space="preserve"> majority of their processing and collection costs are removed.</w:t>
      </w:r>
    </w:p>
    <w:p w14:paraId="0E44858D" w14:textId="77777777" w:rsidR="00000000" w:rsidRDefault="008F1D84">
      <w:pPr>
        <w:numPr>
          <w:ilvl w:val="0"/>
          <w:numId w:val="11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is offered by our company cost free </w:t>
      </w:r>
      <w:r>
        <w:rPr>
          <w:rFonts w:ascii="Helvetica" w:hAnsi="Helvetica"/>
          <w:i/>
          <w:sz w:val="20"/>
        </w:rPr>
        <w:t>(or insert the fee amount to be paid by carrier)</w:t>
      </w:r>
    </w:p>
    <w:p w14:paraId="75C41B35" w14:textId="5C169411" w:rsidR="00000000" w:rsidRDefault="008F1D84">
      <w:pPr>
        <w:numPr>
          <w:ilvl w:val="0"/>
          <w:numId w:val="11"/>
        </w:numPr>
        <w:tabs>
          <w:tab w:val="clear" w:pos="-180"/>
          <w:tab w:val="num" w:pos="-540"/>
        </w:tabs>
        <w:ind w:right="-54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Payment terms within </w:t>
      </w:r>
      <w:proofErr w:type="spellStart"/>
      <w:r>
        <w:rPr>
          <w:rFonts w:ascii="Helvetica" w:hAnsi="Helvetica"/>
          <w:sz w:val="20"/>
        </w:rPr>
        <w:t>Epay</w:t>
      </w:r>
      <w:proofErr w:type="spellEnd"/>
      <w:r>
        <w:rPr>
          <w:rFonts w:ascii="Helvetica" w:hAnsi="Helvetica"/>
          <w:sz w:val="20"/>
        </w:rPr>
        <w:t xml:space="preserve"> Manager are true terms because mail time is eliminated.</w:t>
      </w:r>
      <w:r w:rsidR="00574B38">
        <w:rPr>
          <w:rFonts w:ascii="Helvetica" w:hAnsi="Helvetica"/>
          <w:sz w:val="20"/>
        </w:rPr>
        <w:t xml:space="preserve"> </w:t>
      </w:r>
      <w:r w:rsidR="0090659F">
        <w:rPr>
          <w:rFonts w:ascii="Helvetica" w:hAnsi="Helvetica"/>
          <w:sz w:val="20"/>
        </w:rPr>
        <w:t>Typically,</w:t>
      </w:r>
      <w:r>
        <w:rPr>
          <w:rFonts w:ascii="Helvetica" w:hAnsi="Helvetica"/>
          <w:sz w:val="20"/>
        </w:rPr>
        <w:t xml:space="preserve"> Net-30 me</w:t>
      </w:r>
      <w:r>
        <w:rPr>
          <w:rFonts w:ascii="Helvetica" w:hAnsi="Helvetica"/>
          <w:sz w:val="20"/>
        </w:rPr>
        <w:t>ans a check is printed 30 days from receipt of the invoice.</w:t>
      </w:r>
      <w:r w:rsidR="00574B38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This often extends a </w:t>
      </w:r>
      <w:r w:rsidR="0090659F">
        <w:rPr>
          <w:rFonts w:ascii="Helvetica" w:hAnsi="Helvetica"/>
          <w:sz w:val="20"/>
        </w:rPr>
        <w:t>30-day</w:t>
      </w:r>
      <w:r>
        <w:rPr>
          <w:rFonts w:ascii="Helvetica" w:hAnsi="Helvetica"/>
          <w:sz w:val="20"/>
        </w:rPr>
        <w:t xml:space="preserve"> net term to 40+days.</w:t>
      </w:r>
      <w:r w:rsidR="00574B38">
        <w:rPr>
          <w:rFonts w:ascii="Helvetica" w:hAnsi="Helvetica"/>
          <w:sz w:val="20"/>
        </w:rPr>
        <w:t xml:space="preserve"> </w:t>
      </w:r>
    </w:p>
    <w:p w14:paraId="7F54A7CD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6DB664DF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948B387" w14:textId="77777777" w:rsidR="00000000" w:rsidRDefault="008F1D84">
      <w:pPr>
        <w:pStyle w:val="Heading1"/>
      </w:pPr>
      <w:r>
        <w:t>Important References</w:t>
      </w:r>
    </w:p>
    <w:p w14:paraId="451C06E7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741679EE" w14:textId="038FB6BC" w:rsidR="00000000" w:rsidRDefault="009C7FF2" w:rsidP="009C7FF2">
      <w:pPr>
        <w:ind w:left="-540" w:right="-540"/>
        <w:jc w:val="both"/>
        <w:rPr>
          <w:rFonts w:ascii="Helvetica" w:hAnsi="Helvetica"/>
          <w:sz w:val="20"/>
        </w:rPr>
      </w:pPr>
      <w:hyperlink r:id="rId6" w:history="1">
        <w:r w:rsidR="008F1D84" w:rsidRPr="009C7FF2">
          <w:rPr>
            <w:rStyle w:val="Hyperlink"/>
            <w:rFonts w:ascii="Helvetica" w:hAnsi="Helvetica"/>
            <w:sz w:val="20"/>
          </w:rPr>
          <w:t>Registration</w:t>
        </w:r>
      </w:hyperlink>
      <w:r>
        <w:rPr>
          <w:rFonts w:ascii="Helvetica" w:hAnsi="Helvetica"/>
          <w:sz w:val="20"/>
        </w:rPr>
        <w:softHyphen/>
      </w:r>
      <w:bookmarkStart w:id="0" w:name="_GoBack"/>
      <w:bookmarkEnd w:id="0"/>
    </w:p>
    <w:p w14:paraId="1D509E3E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37F13612" w14:textId="48E30968" w:rsidR="00000000" w:rsidRDefault="00812FB7" w:rsidP="00812FB7">
      <w:pPr>
        <w:ind w:left="-540" w:right="-540"/>
        <w:jc w:val="both"/>
        <w:rPr>
          <w:rFonts w:ascii="Helvetica" w:hAnsi="Helvetica"/>
          <w:sz w:val="20"/>
        </w:rPr>
      </w:pPr>
      <w:hyperlink r:id="rId7" w:history="1">
        <w:r w:rsidR="008F1D84" w:rsidRPr="00812FB7">
          <w:rPr>
            <w:rStyle w:val="Hyperlink"/>
            <w:rFonts w:ascii="Helvetica" w:hAnsi="Helvetica"/>
            <w:sz w:val="20"/>
          </w:rPr>
          <w:t xml:space="preserve">Carrier </w:t>
        </w:r>
        <w:r w:rsidR="008F1D84" w:rsidRPr="00812FB7">
          <w:rPr>
            <w:rStyle w:val="Hyperlink"/>
            <w:rFonts w:ascii="Helvetica" w:hAnsi="Helvetica"/>
            <w:sz w:val="20"/>
          </w:rPr>
          <w:t>Demo Video</w:t>
        </w:r>
      </w:hyperlink>
      <w:r w:rsidR="008F1D84">
        <w:rPr>
          <w:rFonts w:ascii="Helvetica" w:hAnsi="Helvetica"/>
          <w:sz w:val="20"/>
        </w:rPr>
        <w:t xml:space="preserve"> </w:t>
      </w:r>
    </w:p>
    <w:p w14:paraId="53347CE9" w14:textId="77777777" w:rsidR="00000000" w:rsidRDefault="008F1D84" w:rsidP="00812FB7">
      <w:pPr>
        <w:ind w:right="-540"/>
        <w:jc w:val="both"/>
        <w:rPr>
          <w:rFonts w:ascii="Helvetica" w:hAnsi="Helvetica"/>
          <w:sz w:val="20"/>
        </w:rPr>
      </w:pPr>
    </w:p>
    <w:p w14:paraId="1FA8E6D1" w14:textId="27741C1A" w:rsidR="00000000" w:rsidRDefault="002C05CA">
      <w:pPr>
        <w:ind w:left="-540" w:right="-540"/>
        <w:jc w:val="both"/>
        <w:rPr>
          <w:rFonts w:ascii="Helvetica" w:hAnsi="Helvetica"/>
          <w:sz w:val="20"/>
        </w:rPr>
      </w:pPr>
      <w:hyperlink r:id="rId8" w:history="1">
        <w:r w:rsidR="008F1D84" w:rsidRPr="002C05CA">
          <w:rPr>
            <w:rStyle w:val="Hyperlink"/>
            <w:rFonts w:ascii="Helvetica" w:hAnsi="Helvetica"/>
            <w:sz w:val="20"/>
          </w:rPr>
          <w:t>Carrier Benefits</w:t>
        </w:r>
      </w:hyperlink>
    </w:p>
    <w:p w14:paraId="2DAB902E" w14:textId="48ECB811" w:rsidR="00000000" w:rsidRDefault="008F1D84" w:rsidP="00812FB7">
      <w:pPr>
        <w:ind w:right="-540"/>
        <w:jc w:val="both"/>
        <w:rPr>
          <w:rFonts w:ascii="Helvetica" w:hAnsi="Helvetica"/>
          <w:sz w:val="20"/>
        </w:rPr>
      </w:pPr>
    </w:p>
    <w:p w14:paraId="29C70DA7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54638A72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09C31BE6" w14:textId="77777777" w:rsidR="00000000" w:rsidRDefault="008F1D84">
      <w:pPr>
        <w:ind w:left="-540" w:right="-540"/>
        <w:jc w:val="both"/>
        <w:rPr>
          <w:rFonts w:ascii="Helvetica" w:hAnsi="Helvetica"/>
          <w:sz w:val="20"/>
        </w:rPr>
      </w:pPr>
    </w:p>
    <w:p w14:paraId="1D11E9EC" w14:textId="77777777" w:rsidR="00000000" w:rsidRDefault="008F1D84">
      <w:pPr>
        <w:autoSpaceDE w:val="0"/>
        <w:autoSpaceDN w:val="0"/>
        <w:adjustRightInd w:val="0"/>
        <w:ind w:left="-540" w:right="-540"/>
        <w:jc w:val="both"/>
        <w:rPr>
          <w:rFonts w:ascii="Helvetica" w:hAnsi="Helvetica"/>
          <w:sz w:val="17"/>
        </w:rPr>
      </w:pPr>
    </w:p>
    <w:p w14:paraId="5347D262" w14:textId="77777777" w:rsidR="008F1D84" w:rsidRDefault="008F1D84">
      <w:pPr>
        <w:ind w:left="-540" w:right="-540"/>
        <w:jc w:val="both"/>
        <w:rPr>
          <w:rFonts w:ascii="Helvetica" w:hAnsi="Helvetica"/>
        </w:rPr>
      </w:pPr>
    </w:p>
    <w:sectPr w:rsidR="008F1D84">
      <w:pgSz w:w="12240" w:h="15840"/>
      <w:pgMar w:top="90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EC9"/>
    <w:multiLevelType w:val="multilevel"/>
    <w:tmpl w:val="326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4F8"/>
    <w:multiLevelType w:val="hybridMultilevel"/>
    <w:tmpl w:val="2ACE66F6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9597630"/>
    <w:multiLevelType w:val="hybridMultilevel"/>
    <w:tmpl w:val="9D5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1796D"/>
    <w:multiLevelType w:val="hybridMultilevel"/>
    <w:tmpl w:val="19401A5E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ADC4891"/>
    <w:multiLevelType w:val="hybridMultilevel"/>
    <w:tmpl w:val="255E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B45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500227F"/>
    <w:multiLevelType w:val="hybridMultilevel"/>
    <w:tmpl w:val="F60E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21083"/>
    <w:multiLevelType w:val="hybridMultilevel"/>
    <w:tmpl w:val="500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2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984F5A"/>
    <w:multiLevelType w:val="hybridMultilevel"/>
    <w:tmpl w:val="326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B7AC5"/>
    <w:multiLevelType w:val="hybridMultilevel"/>
    <w:tmpl w:val="5E8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38"/>
    <w:rsid w:val="002C05CA"/>
    <w:rsid w:val="002E280E"/>
    <w:rsid w:val="005600FE"/>
    <w:rsid w:val="00574B38"/>
    <w:rsid w:val="00812FB7"/>
    <w:rsid w:val="008F1D84"/>
    <w:rsid w:val="0090659F"/>
    <w:rsid w:val="009C7FF2"/>
    <w:rsid w:val="00C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7ED99"/>
  <w15:chartTrackingRefBased/>
  <w15:docId w15:val="{67E419A7-1D09-504B-ADE1-CB79816E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ind w:left="-540" w:right="-540"/>
      <w:jc w:val="both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-540" w:right="-540"/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5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googleapis.com/l1-www-wp/2019/12/a2b3a815-carrier_benefi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dSIGfwHO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ymanager.com/cgi-bin/regist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Payable Procedures</vt:lpstr>
    </vt:vector>
  </TitlesOfParts>
  <Company>FREIGHTlist.com, Inc.</Company>
  <LinksUpToDate>false</LinksUpToDate>
  <CharactersWithSpaces>5737</CharactersWithSpaces>
  <SharedDoc>false</SharedDoc>
  <HLinks>
    <vt:vector size="18" baseType="variant">
      <vt:variant>
        <vt:i4>1048694</vt:i4>
      </vt:variant>
      <vt:variant>
        <vt:i4>6</vt:i4>
      </vt:variant>
      <vt:variant>
        <vt:i4>0</vt:i4>
      </vt:variant>
      <vt:variant>
        <vt:i4>5</vt:i4>
      </vt:variant>
      <vt:variant>
        <vt:lpwstr>https://storage.googleapis.com/l1-www-wp/2019/12/a2b3a815-carrier_benefits.pdf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https://youtu.be/PdSIGfwHOG4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http://www.epaymanager.com/cgi-bin/register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Payable Procedures</dc:title>
  <dc:subject/>
  <dc:creator>Jason Kirkpatrick</dc:creator>
  <cp:keywords/>
  <dc:description/>
  <cp:lastModifiedBy>Microsoft Office User</cp:lastModifiedBy>
  <cp:revision>2</cp:revision>
  <cp:lastPrinted>2005-11-28T20:47:00Z</cp:lastPrinted>
  <dcterms:created xsi:type="dcterms:W3CDTF">2019-12-06T16:50:00Z</dcterms:created>
  <dcterms:modified xsi:type="dcterms:W3CDTF">2019-12-06T16:50:00Z</dcterms:modified>
</cp:coreProperties>
</file>