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788" w:rsidRDefault="00000000">
      <w:pPr>
        <w:pStyle w:val="Title"/>
      </w:pPr>
      <w:r>
        <w:t>MASTER SERVICES AGREEMENT</w:t>
      </w:r>
    </w:p>
    <w:p w:rsidR="00530788" w:rsidRDefault="00000000">
      <w:pPr>
        <w:spacing w:after="120"/>
      </w:pPr>
      <w:r>
        <w:t>This Master Services Agreement (the “Agreement”) is entered into as of 1 March 2026 (the “Effective Date”) by and between Northwind Analytics Ltd, a company incorporated in England and Wales with registered number 09988776, having its registered office at 14 Featherstone Street, London EC1Y 8RT (the “Customer”), and Meridian Data Services Inc., a Delaware corporation with offices at 500 Harrison Street, San Francisco, CA 94105 (the “Supplier”). The Customer and the Supplier are each a “Party” and together the “Parties”.</w:t>
      </w:r>
    </w:p>
    <w:p w:rsidR="00530788" w:rsidRDefault="00000000">
      <w:pPr>
        <w:pStyle w:val="Heading1"/>
      </w:pPr>
      <w:r>
        <w:t>1. Definitions and Interpretation</w:t>
      </w:r>
    </w:p>
    <w:p w:rsidR="00530788" w:rsidRDefault="00000000">
      <w:pPr>
        <w:spacing w:after="120"/>
      </w:pPr>
      <w:r>
        <w:t>In this Agreement, unless the context otherwise requires:</w:t>
      </w:r>
    </w:p>
    <w:p w:rsidR="00530788" w:rsidRDefault="00000000">
      <w:pPr>
        <w:pStyle w:val="ListParagraph"/>
        <w:numPr>
          <w:ilvl w:val="0"/>
          <w:numId w:val="2"/>
        </w:numPr>
        <w:spacing w:after="80"/>
      </w:pPr>
      <w:r>
        <w:t>“Confidential Information” means all information disclosed by one Party to the other, whether orally, in writing or in any other form, that is designated as confidential or that ought reasonably to be considered confidential given the nature of the information and the circumstances of disclosure.</w:t>
      </w:r>
    </w:p>
    <w:p w:rsidR="00530788" w:rsidRDefault="00000000">
      <w:pPr>
        <w:pStyle w:val="ListParagraph"/>
        <w:numPr>
          <w:ilvl w:val="0"/>
          <w:numId w:val="2"/>
        </w:numPr>
        <w:spacing w:after="80"/>
      </w:pPr>
      <w:r>
        <w:t>“Deliverables” means all outputs, reports, software, documentation and other materials produced by the Supplier in the course of providing the Services.</w:t>
      </w:r>
    </w:p>
    <w:p w:rsidR="00530788" w:rsidRDefault="00000000">
      <w:pPr>
        <w:pStyle w:val="ListParagraph"/>
        <w:numPr>
          <w:ilvl w:val="0"/>
          <w:numId w:val="2"/>
        </w:numPr>
        <w:spacing w:after="80"/>
      </w:pPr>
      <w:r>
        <w:t>“Personal Data” has the meaning given to it in applicable data protection legislation, including the UK GDPR and the EU General Data Protection Regulation.</w:t>
      </w:r>
    </w:p>
    <w:p w:rsidR="00530788" w:rsidRDefault="00000000">
      <w:pPr>
        <w:pStyle w:val="ListParagraph"/>
        <w:numPr>
          <w:ilvl w:val="0"/>
          <w:numId w:val="2"/>
        </w:numPr>
        <w:spacing w:after="80"/>
      </w:pPr>
      <w:r>
        <w:t>“Services” means the data analytics, reporting and managed services described in each Statement of Work executed under this Agreement.</w:t>
      </w:r>
    </w:p>
    <w:p w:rsidR="00530788" w:rsidRDefault="00000000">
      <w:pPr>
        <w:pStyle w:val="ListParagraph"/>
        <w:numPr>
          <w:ilvl w:val="0"/>
          <w:numId w:val="2"/>
        </w:numPr>
        <w:spacing w:after="80"/>
      </w:pPr>
      <w:r>
        <w:t>“Statement of Work” or “SOW” means a document agreed by the Parties describing specific Services, deliverables, timelines and fees.</w:t>
      </w:r>
    </w:p>
    <w:p w:rsidR="00530788" w:rsidRDefault="00000000">
      <w:pPr>
        <w:pStyle w:val="Heading1"/>
      </w:pPr>
      <w:r>
        <w:t>2. Provision of Services</w:t>
      </w:r>
    </w:p>
    <w:p w:rsidR="00530788" w:rsidRDefault="00000000">
      <w:pPr>
        <w:spacing w:after="120"/>
      </w:pPr>
      <w:r>
        <w:t>The Supplier shall provide the Services to the Customer in accordance with the terms of this Agreement and each applicable Statement of Work. The Supplier shall perform the Services with reasonable skill and care and in accordance with good industry practice. Each Statement of Work shall be governed by the terms of this Agreement, and in the event of conflict between this Agreement and a Statement of Work, this Agreement shall prevail unless the Statement of Work expressly states otherwise.</w:t>
      </w:r>
    </w:p>
    <w:p w:rsidR="00530788" w:rsidRDefault="00000000">
      <w:pPr>
        <w:pStyle w:val="Heading1"/>
      </w:pPr>
      <w:r>
        <w:t>3. Term and Termination</w:t>
      </w:r>
    </w:p>
    <w:p w:rsidR="00530788" w:rsidRDefault="00000000">
      <w:pPr>
        <w:spacing w:after="120"/>
      </w:pPr>
      <w:r>
        <w:t>This Agreement shall commence on the Effective Date and shall continue for an initial term of twenty-four (24) months (the “Initial Term”), after which it shall renew automatically for successive twelve (12) month periods unless either Party gives no less than ninety (90) days’ written notice of non-renewal prior to the end of the then-current term.</w:t>
      </w:r>
    </w:p>
    <w:p w:rsidR="00530788" w:rsidRDefault="00000000">
      <w:pPr>
        <w:spacing w:after="120"/>
      </w:pPr>
      <w:r>
        <w:t>Either Party may terminate this Agreement immediately on written notice if the other Party commits a material breach which is not remediable or, if remediable, is not remedied within thirty (30) days of written notice requiring it to do so, or if the other Party becomes insolvent or ceases to carry on business.</w:t>
      </w:r>
    </w:p>
    <w:p w:rsidR="00530788" w:rsidRDefault="00000000">
      <w:pPr>
        <w:pStyle w:val="Heading1"/>
      </w:pPr>
      <w:r>
        <w:t>4. Fees and Payment</w:t>
      </w:r>
    </w:p>
    <w:p w:rsidR="00530788" w:rsidRDefault="00000000">
      <w:pPr>
        <w:spacing w:after="120"/>
      </w:pPr>
      <w:r>
        <w:t>The Customer shall pay the fees set out in each Statement of Work. Unless otherwise stated, the Supplier shall invoice the Customer monthly in arrears, and the Customer shall pay each undisputed invoice within forty-five (45) days of the date of invoice. Late payments shall accrue interest at a rate of 1.5% per month or the maximum rate permitted by law, whichever is lower.</w:t>
      </w:r>
    </w:p>
    <w:p w:rsidR="00530788" w:rsidRDefault="00000000">
      <w:pPr>
        <w:pStyle w:val="Heading1"/>
      </w:pPr>
      <w:r>
        <w:t>5. Intellectual Property</w:t>
      </w:r>
    </w:p>
    <w:p w:rsidR="00530788" w:rsidRDefault="00000000">
      <w:pPr>
        <w:spacing w:after="120"/>
      </w:pPr>
      <w:r>
        <w:t>All intellectual property rights in the Deliverables shall vest in the Customer upon full payment of the relevant fees. The Supplier shall retain ownership of all pre-existing materials, tools and methodologies used in providing the Services, and grants the Customer a non-exclusive, perpetual licence to use such pre-existing materials to the extent incorporated into the Deliverables.</w:t>
      </w:r>
    </w:p>
    <w:p w:rsidR="00530788" w:rsidRDefault="00000000">
      <w:pPr>
        <w:pStyle w:val="Heading1"/>
      </w:pPr>
      <w:r>
        <w:t>6. Confidentiality</w:t>
      </w:r>
    </w:p>
    <w:p w:rsidR="00530788" w:rsidRDefault="00000000">
      <w:pPr>
        <w:spacing w:after="120"/>
      </w:pPr>
      <w:r>
        <w:t>Each Party shall keep the Confidential Information of the other Party confidential and shall not use it except for the purpose of performing its obligations under this Agreement. This obligation shall survive termination of this Agreement for a period of five (5) years.</w:t>
      </w:r>
    </w:p>
    <w:p w:rsidR="00530788" w:rsidRDefault="00000000">
      <w:pPr>
        <w:pStyle w:val="Heading1"/>
      </w:pPr>
      <w:r>
        <w:t>7. Data Protection</w:t>
      </w:r>
    </w:p>
    <w:p w:rsidR="00530788" w:rsidRDefault="00000000">
      <w:pPr>
        <w:spacing w:after="120"/>
      </w:pPr>
      <w:r>
        <w:t>Each Party shall comply with applicable data protection legislation in respect of any Personal Data processed under this Agreement. Where the Supplier processes Personal Data on behalf of the Customer, it shall do so only on documented instructions from the Customer and shall implement appropriate technical and organisational measures to protect such Personal Data. The Supplier shall retain Personal Data for no longer than twelve (12) months following termination, after which it shall be securely deleted.</w:t>
      </w:r>
    </w:p>
    <w:p w:rsidR="00530788" w:rsidRDefault="00000000">
      <w:pPr>
        <w:pStyle w:val="Heading1"/>
      </w:pPr>
      <w:r>
        <w:t>8. Limitation of Liability</w:t>
      </w:r>
    </w:p>
    <w:p w:rsidR="00530788" w:rsidRDefault="00000000">
      <w:pPr>
        <w:spacing w:after="120"/>
      </w:pPr>
      <w:r>
        <w:t>Subject to the following, neither Party excludes or limits its liability for death or personal injury caused by negligence, for fraud, or for any liability that cannot be excluded by law. Subject to the foregoing, the total aggregate liability of each Party under this Agreement, whether in contract, tort (including negligence) or otherwise, shall not exceed an amount equal to the total fees paid or payable under the relevant Statement of Work in the twelve (12) months preceding the event giving rise to the claim. Neither Party shall be liable for any indirect, special or consequential loss, including loss of profit, revenue or anticipated savings.</w:t>
      </w:r>
    </w:p>
    <w:p w:rsidR="00530788" w:rsidRDefault="00000000">
      <w:pPr>
        <w:pStyle w:val="Heading1"/>
      </w:pPr>
      <w:r>
        <w:t>9. Indemnity</w:t>
      </w:r>
    </w:p>
    <w:p w:rsidR="00530788" w:rsidRDefault="00000000">
      <w:pPr>
        <w:spacing w:after="120"/>
      </w:pPr>
      <w:r>
        <w:t>The Supplier shall indemnify the Customer against all losses, damages and reasonable costs arising from any claim that the Deliverables infringe the intellectual property rights of any third party, provided that the Customer promptly notifies the Supplier of such claim and permits the Supplier to control the defence and settlement of it.</w:t>
      </w:r>
    </w:p>
    <w:p w:rsidR="00530788" w:rsidRDefault="00000000">
      <w:pPr>
        <w:pStyle w:val="Heading1"/>
      </w:pPr>
      <w:r>
        <w:t>10. Governing Law and Jurisdiction</w:t>
      </w:r>
    </w:p>
    <w:p w:rsidR="00530788" w:rsidRDefault="00000000">
      <w:pPr>
        <w:spacing w:after="120"/>
      </w:pPr>
      <w:r>
        <w:t>This Agreement and any dispute or claim arising out of or in connection with it shall be governed by and construed in accordance with the laws of England and Wales, and the Parties submit to the exclusive jurisdiction of the courts of England and Wales.</w:t>
      </w:r>
    </w:p>
    <w:p w:rsidR="00530788" w:rsidRDefault="00000000">
      <w:pPr>
        <w:pStyle w:val="Heading1"/>
      </w:pPr>
      <w:r>
        <w:t>11. General</w:t>
      </w:r>
    </w:p>
    <w:p w:rsidR="00530788" w:rsidRDefault="00000000">
      <w:pPr>
        <w:spacing w:after="120"/>
      </w:pPr>
      <w:r>
        <w:t>This Agreement constitutes the entire agreement between the Parties and supersedes all prior discussions. No variation shall be effective unless in writing and signed by both Parties. If any provision is held to be invalid, the remaining provisions shall continue in full force and effect.</w:t>
      </w:r>
    </w:p>
    <w:p w:rsidR="00530788" w:rsidRDefault="00530788">
      <w:pPr>
        <w:spacing w:after="120"/>
      </w:pPr>
    </w:p>
    <w:p w:rsidR="00530788" w:rsidRDefault="00000000">
      <w:pPr>
        <w:spacing w:after="120"/>
      </w:pPr>
      <w:r>
        <w:rPr>
          <w:b/>
          <w:bCs/>
        </w:rPr>
        <w:t>IN WITNESS WHEREOF, the Parties have executed this Agreement as of the Effective Date.</w:t>
      </w:r>
    </w:p>
    <w:p w:rsidR="00530788" w:rsidRDefault="00530788">
      <w:pPr>
        <w:spacing w:after="120"/>
      </w:pPr>
    </w:p>
    <w:p w:rsidR="00530788" w:rsidRDefault="00000000">
      <w:pPr>
        <w:spacing w:after="120"/>
      </w:pPr>
      <w:r>
        <w:t>Signed for and on behalf of Northwind Analytics Ltd: ______________________</w:t>
      </w:r>
    </w:p>
    <w:p w:rsidR="00530788" w:rsidRDefault="00000000">
      <w:pPr>
        <w:spacing w:after="120"/>
      </w:pPr>
      <w:r>
        <w:t>Signed for and on behalf of Meridian Data Services Inc.: ______________________</w:t>
      </w:r>
    </w:p>
    <w:sectPr w:rsidR="00530788">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86C" w:rsidRDefault="002D586C">
      <w:r>
        <w:separator/>
      </w:r>
    </w:p>
  </w:endnote>
  <w:endnote w:type="continuationSeparator" w:id="0">
    <w:p w:rsidR="002D586C" w:rsidRDefault="002D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788"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6611C1">
      <w:rPr>
        <w:noProof/>
        <w:sz w:val="18"/>
        <w:szCs w:val="18"/>
      </w:rPr>
      <w:t>1</w:t>
    </w:r>
    <w:r>
      <w:rPr>
        <w:sz w:val="18"/>
        <w:szCs w:val="18"/>
      </w:rPr>
      <w:fldChar w:fldCharType="end"/>
    </w:r>
    <w:r>
      <w:rPr>
        <w:sz w:val="18"/>
        <w:szCs w:val="18"/>
      </w:rPr>
      <w:t xml:space="preserve"> — CONFIDENTIAL — Sample demonstration document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86C" w:rsidRDefault="002D586C">
      <w:r>
        <w:separator/>
      </w:r>
    </w:p>
  </w:footnote>
  <w:footnote w:type="continuationSeparator" w:id="0">
    <w:p w:rsidR="002D586C" w:rsidRDefault="002D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75EAE"/>
    <w:multiLevelType w:val="hybridMultilevel"/>
    <w:tmpl w:val="0582CCD6"/>
    <w:lvl w:ilvl="0" w:tplc="D818C7BA">
      <w:start w:val="1"/>
      <w:numFmt w:val="bullet"/>
      <w:lvlText w:val="●"/>
      <w:lvlJc w:val="left"/>
      <w:pPr>
        <w:ind w:left="720" w:hanging="360"/>
      </w:pPr>
    </w:lvl>
    <w:lvl w:ilvl="1" w:tplc="B6661AB6">
      <w:start w:val="1"/>
      <w:numFmt w:val="bullet"/>
      <w:lvlText w:val="○"/>
      <w:lvlJc w:val="left"/>
      <w:pPr>
        <w:ind w:left="1440" w:hanging="360"/>
      </w:pPr>
    </w:lvl>
    <w:lvl w:ilvl="2" w:tplc="101C8558">
      <w:start w:val="1"/>
      <w:numFmt w:val="bullet"/>
      <w:lvlText w:val="■"/>
      <w:lvlJc w:val="left"/>
      <w:pPr>
        <w:ind w:left="2160" w:hanging="360"/>
      </w:pPr>
    </w:lvl>
    <w:lvl w:ilvl="3" w:tplc="17D6E55E">
      <w:start w:val="1"/>
      <w:numFmt w:val="bullet"/>
      <w:lvlText w:val="●"/>
      <w:lvlJc w:val="left"/>
      <w:pPr>
        <w:ind w:left="2880" w:hanging="360"/>
      </w:pPr>
    </w:lvl>
    <w:lvl w:ilvl="4" w:tplc="EB967B6C">
      <w:start w:val="1"/>
      <w:numFmt w:val="bullet"/>
      <w:lvlText w:val="○"/>
      <w:lvlJc w:val="left"/>
      <w:pPr>
        <w:ind w:left="3600" w:hanging="360"/>
      </w:pPr>
    </w:lvl>
    <w:lvl w:ilvl="5" w:tplc="70D2B268">
      <w:start w:val="1"/>
      <w:numFmt w:val="bullet"/>
      <w:lvlText w:val="■"/>
      <w:lvlJc w:val="left"/>
      <w:pPr>
        <w:ind w:left="4320" w:hanging="360"/>
      </w:pPr>
    </w:lvl>
    <w:lvl w:ilvl="6" w:tplc="F3B6273A">
      <w:start w:val="1"/>
      <w:numFmt w:val="bullet"/>
      <w:lvlText w:val="●"/>
      <w:lvlJc w:val="left"/>
      <w:pPr>
        <w:ind w:left="5040" w:hanging="360"/>
      </w:pPr>
    </w:lvl>
    <w:lvl w:ilvl="7" w:tplc="3730AA94">
      <w:start w:val="1"/>
      <w:numFmt w:val="bullet"/>
      <w:lvlText w:val="●"/>
      <w:lvlJc w:val="left"/>
      <w:pPr>
        <w:ind w:left="5760" w:hanging="360"/>
      </w:pPr>
    </w:lvl>
    <w:lvl w:ilvl="8" w:tplc="70C6D710">
      <w:start w:val="1"/>
      <w:numFmt w:val="bullet"/>
      <w:lvlText w:val="●"/>
      <w:lvlJc w:val="left"/>
      <w:pPr>
        <w:ind w:left="6480" w:hanging="360"/>
      </w:pPr>
    </w:lvl>
  </w:abstractNum>
  <w:abstractNum w:abstractNumId="1" w15:restartNumberingAfterBreak="0">
    <w:nsid w:val="6C566E58"/>
    <w:multiLevelType w:val="hybridMultilevel"/>
    <w:tmpl w:val="C8B42EA2"/>
    <w:lvl w:ilvl="0" w:tplc="5B3ED8DC">
      <w:start w:val="1"/>
      <w:numFmt w:val="lowerLetter"/>
      <w:lvlText w:val="(%1)"/>
      <w:lvlJc w:val="left"/>
      <w:pPr>
        <w:ind w:left="720" w:hanging="360"/>
      </w:pPr>
    </w:lvl>
    <w:lvl w:ilvl="1" w:tplc="234222D2">
      <w:numFmt w:val="decimal"/>
      <w:lvlText w:val=""/>
      <w:lvlJc w:val="left"/>
    </w:lvl>
    <w:lvl w:ilvl="2" w:tplc="2A763AB6">
      <w:numFmt w:val="decimal"/>
      <w:lvlText w:val=""/>
      <w:lvlJc w:val="left"/>
    </w:lvl>
    <w:lvl w:ilvl="3" w:tplc="EC6EC688">
      <w:numFmt w:val="decimal"/>
      <w:lvlText w:val=""/>
      <w:lvlJc w:val="left"/>
    </w:lvl>
    <w:lvl w:ilvl="4" w:tplc="09789B06">
      <w:numFmt w:val="decimal"/>
      <w:lvlText w:val=""/>
      <w:lvlJc w:val="left"/>
    </w:lvl>
    <w:lvl w:ilvl="5" w:tplc="DF0432EA">
      <w:numFmt w:val="decimal"/>
      <w:lvlText w:val=""/>
      <w:lvlJc w:val="left"/>
    </w:lvl>
    <w:lvl w:ilvl="6" w:tplc="AE84B4F2">
      <w:numFmt w:val="decimal"/>
      <w:lvlText w:val=""/>
      <w:lvlJc w:val="left"/>
    </w:lvl>
    <w:lvl w:ilvl="7" w:tplc="48AAF416">
      <w:numFmt w:val="decimal"/>
      <w:lvlText w:val=""/>
      <w:lvlJc w:val="left"/>
    </w:lvl>
    <w:lvl w:ilvl="8" w:tplc="7F86B70A">
      <w:numFmt w:val="decimal"/>
      <w:lvlText w:val=""/>
      <w:lvlJc w:val="left"/>
    </w:lvl>
  </w:abstractNum>
  <w:abstractNum w:abstractNumId="2" w15:restartNumberingAfterBreak="0">
    <w:nsid w:val="6F777D8F"/>
    <w:multiLevelType w:val="hybridMultilevel"/>
    <w:tmpl w:val="619E79BA"/>
    <w:lvl w:ilvl="0" w:tplc="707CD980">
      <w:start w:val="1"/>
      <w:numFmt w:val="decimal"/>
      <w:lvlText w:val="%1."/>
      <w:lvlJc w:val="left"/>
      <w:pPr>
        <w:ind w:left="0" w:firstLine="0"/>
      </w:pPr>
    </w:lvl>
    <w:lvl w:ilvl="1" w:tplc="A866FC22">
      <w:numFmt w:val="decimal"/>
      <w:lvlText w:val=""/>
      <w:lvlJc w:val="left"/>
    </w:lvl>
    <w:lvl w:ilvl="2" w:tplc="63D44DC2">
      <w:numFmt w:val="decimal"/>
      <w:lvlText w:val=""/>
      <w:lvlJc w:val="left"/>
    </w:lvl>
    <w:lvl w:ilvl="3" w:tplc="A35C9580">
      <w:numFmt w:val="decimal"/>
      <w:lvlText w:val=""/>
      <w:lvlJc w:val="left"/>
    </w:lvl>
    <w:lvl w:ilvl="4" w:tplc="E8DCBF46">
      <w:numFmt w:val="decimal"/>
      <w:lvlText w:val=""/>
      <w:lvlJc w:val="left"/>
    </w:lvl>
    <w:lvl w:ilvl="5" w:tplc="7BC229BE">
      <w:numFmt w:val="decimal"/>
      <w:lvlText w:val=""/>
      <w:lvlJc w:val="left"/>
    </w:lvl>
    <w:lvl w:ilvl="6" w:tplc="BB7ADF76">
      <w:numFmt w:val="decimal"/>
      <w:lvlText w:val=""/>
      <w:lvlJc w:val="left"/>
    </w:lvl>
    <w:lvl w:ilvl="7" w:tplc="6B1435BA">
      <w:numFmt w:val="decimal"/>
      <w:lvlText w:val=""/>
      <w:lvlJc w:val="left"/>
    </w:lvl>
    <w:lvl w:ilvl="8" w:tplc="79E81B20">
      <w:numFmt w:val="decimal"/>
      <w:lvlText w:val=""/>
      <w:lvlJc w:val="left"/>
    </w:lvl>
  </w:abstractNum>
  <w:num w:numId="1" w16cid:durableId="1923710971">
    <w:abstractNumId w:val="0"/>
    <w:lvlOverride w:ilvl="0">
      <w:startOverride w:val="1"/>
    </w:lvlOverride>
  </w:num>
  <w:num w:numId="2" w16cid:durableId="11457817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88"/>
    <w:rsid w:val="002D586C"/>
    <w:rsid w:val="004F6EA6"/>
    <w:rsid w:val="00530788"/>
    <w:rsid w:val="006611C1"/>
    <w:rsid w:val="00884E9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41B122AA"/>
  <w15:docId w15:val="{283FF6AC-86AD-C64E-8C40-F9102101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spacing w:before="18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Words>
  <Characters>5338</Characters>
  <Application>Microsoft Office Word</Application>
  <DocSecurity>0</DocSecurity>
  <Lines>116</Lines>
  <Paragraphs>60</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Electra Japonas</cp:lastModifiedBy>
  <cp:revision>1</cp:revision>
  <dcterms:created xsi:type="dcterms:W3CDTF">2026-05-27T08:07:00Z</dcterms:created>
  <dcterms:modified xsi:type="dcterms:W3CDTF">2026-05-27T08:07:00Z</dcterms:modified>
</cp:coreProperties>
</file>