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14F66" w14:textId="77777777" w:rsidR="00D315F1" w:rsidRDefault="00000000">
      <w:pPr>
        <w:pStyle w:val="Heading2"/>
      </w:pPr>
      <w:bookmarkStart w:id="0" w:name="nda-negotiation-playbook"/>
      <w:bookmarkEnd w:id="0"/>
      <w:r>
        <w:t>NDA Negotiation Playbook</w:t>
      </w:r>
    </w:p>
    <w:p w14:paraId="3BBFF883" w14:textId="77777777" w:rsidR="00D315F1" w:rsidRDefault="00000000">
      <w:pPr>
        <w:pStyle w:val="Heading3"/>
      </w:pPr>
      <w:bookmarkStart w:id="1" w:name="1-purpose-and-use-of-this-playbook"/>
      <w:bookmarkEnd w:id="1"/>
      <w:r>
        <w:t>1. Purpose and Use of This Playbook</w:t>
      </w:r>
    </w:p>
    <w:p w14:paraId="4EAD881D" w14:textId="77777777" w:rsidR="00D315F1" w:rsidRDefault="00000000">
      <w:pPr>
        <w:pStyle w:val="BodyText"/>
      </w:pPr>
      <w:r>
        <w:t>This playbook sets out the preferred contract positions, rationale, fallback positions, and red-flag issues for reviewing, drafting, and negotiating mutual and one-way non-disclosure agreements. It is intended to promote consistency, speed up contract review, and ensure that confidentiality obligations align with the company's legal and commercial priorities.</w:t>
      </w:r>
    </w:p>
    <w:p w14:paraId="724BA829" w14:textId="77777777" w:rsidR="00D315F1" w:rsidRDefault="00000000">
      <w:pPr>
        <w:pStyle w:val="BodyText"/>
      </w:pPr>
      <w:r>
        <w:t>This playbook should be used as the default internal guide when reviewing NDAs, unless a specific transaction, counterparty, regulatory issue, or jurisdictional requirement justifies a different position.</w:t>
      </w:r>
    </w:p>
    <w:p w14:paraId="5B7F0EC0" w14:textId="77777777" w:rsidR="00D315F1" w:rsidRDefault="00000000">
      <w:pPr>
        <w:pStyle w:val="Heading3"/>
      </w:pPr>
      <w:bookmarkStart w:id="2" w:name="2-core-drafting-principles"/>
      <w:bookmarkEnd w:id="2"/>
      <w:r>
        <w:t>2. Core Drafting Principles</w:t>
      </w:r>
    </w:p>
    <w:p w14:paraId="3465BE22" w14:textId="77777777" w:rsidR="00D315F1" w:rsidRDefault="00000000">
      <w:pPr>
        <w:pStyle w:val="BodyText"/>
      </w:pPr>
      <w:r>
        <w:t>The company's preferred NDA form should:</w:t>
      </w:r>
    </w:p>
    <w:p w14:paraId="3E3BE4C9" w14:textId="77777777" w:rsidR="00D315F1" w:rsidRDefault="00000000">
      <w:pPr>
        <w:pStyle w:val="BodyText"/>
        <w:numPr>
          <w:ilvl w:val="0"/>
          <w:numId w:val="1"/>
        </w:numPr>
        <w:tabs>
          <w:tab w:val="left" w:pos="709"/>
        </w:tabs>
        <w:spacing w:after="0"/>
      </w:pPr>
      <w:r>
        <w:t>define the permitted purpose narrowly and specifically;</w:t>
      </w:r>
    </w:p>
    <w:p w14:paraId="1AC4C2F8" w14:textId="77777777" w:rsidR="00D315F1" w:rsidRDefault="00000000">
      <w:pPr>
        <w:pStyle w:val="BodyText"/>
        <w:numPr>
          <w:ilvl w:val="0"/>
          <w:numId w:val="1"/>
        </w:numPr>
        <w:tabs>
          <w:tab w:val="left" w:pos="709"/>
        </w:tabs>
        <w:spacing w:after="0"/>
      </w:pPr>
      <w:r>
        <w:t>define Confidential Information broadly, while including full and standard exclusions;</w:t>
      </w:r>
    </w:p>
    <w:p w14:paraId="097876AB" w14:textId="77777777" w:rsidR="00D315F1" w:rsidRDefault="00000000">
      <w:pPr>
        <w:pStyle w:val="BodyText"/>
        <w:numPr>
          <w:ilvl w:val="0"/>
          <w:numId w:val="1"/>
        </w:numPr>
        <w:tabs>
          <w:tab w:val="left" w:pos="709"/>
        </w:tabs>
        <w:spacing w:after="0"/>
      </w:pPr>
      <w:r>
        <w:t>allow disclosure only on a need-to-know basis to appropriately bound representatives;</w:t>
      </w:r>
    </w:p>
    <w:p w14:paraId="6D6D380A" w14:textId="77777777" w:rsidR="00D315F1" w:rsidRDefault="00000000">
      <w:pPr>
        <w:pStyle w:val="BodyText"/>
        <w:numPr>
          <w:ilvl w:val="0"/>
          <w:numId w:val="1"/>
        </w:numPr>
        <w:tabs>
          <w:tab w:val="left" w:pos="709"/>
        </w:tabs>
        <w:spacing w:after="0"/>
      </w:pPr>
      <w:r>
        <w:t>impose clear use restrictions separate from disclosure restrictions;</w:t>
      </w:r>
    </w:p>
    <w:p w14:paraId="120BC123" w14:textId="77777777" w:rsidR="00D315F1" w:rsidRDefault="00000000">
      <w:pPr>
        <w:pStyle w:val="BodyText"/>
        <w:numPr>
          <w:ilvl w:val="0"/>
          <w:numId w:val="1"/>
        </w:numPr>
        <w:tabs>
          <w:tab w:val="left" w:pos="709"/>
        </w:tabs>
        <w:spacing w:after="0"/>
      </w:pPr>
      <w:r>
        <w:t>include commercially realistic return/destruction mechanics;</w:t>
      </w:r>
    </w:p>
    <w:p w14:paraId="67FD0599" w14:textId="77777777" w:rsidR="00D315F1" w:rsidRDefault="00000000">
      <w:pPr>
        <w:pStyle w:val="BodyText"/>
        <w:numPr>
          <w:ilvl w:val="0"/>
          <w:numId w:val="1"/>
        </w:numPr>
        <w:tabs>
          <w:tab w:val="left" w:pos="709"/>
        </w:tabs>
        <w:spacing w:after="0"/>
      </w:pPr>
      <w:r>
        <w:t>include compelled disclosure protections;</w:t>
      </w:r>
    </w:p>
    <w:p w14:paraId="70CCAD06" w14:textId="77777777" w:rsidR="00D315F1" w:rsidRDefault="00000000">
      <w:pPr>
        <w:pStyle w:val="BodyText"/>
        <w:numPr>
          <w:ilvl w:val="0"/>
          <w:numId w:val="1"/>
        </w:numPr>
        <w:tabs>
          <w:tab w:val="left" w:pos="709"/>
        </w:tabs>
        <w:spacing w:after="0"/>
      </w:pPr>
      <w:r>
        <w:t>preserve ownership of Confidential Information and disclaim implied licences;</w:t>
      </w:r>
    </w:p>
    <w:p w14:paraId="7716B557" w14:textId="77777777" w:rsidR="00D315F1" w:rsidRDefault="00000000">
      <w:pPr>
        <w:pStyle w:val="BodyText"/>
        <w:numPr>
          <w:ilvl w:val="0"/>
          <w:numId w:val="1"/>
        </w:numPr>
        <w:tabs>
          <w:tab w:val="left" w:pos="709"/>
        </w:tabs>
        <w:spacing w:after="0"/>
      </w:pPr>
      <w:r>
        <w:t>provide appropriate survival periods, with stronger protection for trade secrets;</w:t>
      </w:r>
    </w:p>
    <w:p w14:paraId="3D37B5AE" w14:textId="77777777" w:rsidR="00D315F1" w:rsidRDefault="00000000">
      <w:pPr>
        <w:pStyle w:val="BodyText"/>
        <w:numPr>
          <w:ilvl w:val="0"/>
          <w:numId w:val="1"/>
        </w:numPr>
        <w:tabs>
          <w:tab w:val="left" w:pos="709"/>
        </w:tabs>
        <w:spacing w:after="0"/>
      </w:pPr>
      <w:r>
        <w:t>include practical and internally consistent boilerplate; and</w:t>
      </w:r>
    </w:p>
    <w:p w14:paraId="1D419D6B" w14:textId="77777777" w:rsidR="00D315F1" w:rsidRDefault="00000000">
      <w:pPr>
        <w:pStyle w:val="BodyText"/>
        <w:numPr>
          <w:ilvl w:val="0"/>
          <w:numId w:val="1"/>
        </w:numPr>
        <w:tabs>
          <w:tab w:val="left" w:pos="709"/>
        </w:tabs>
      </w:pPr>
      <w:r>
        <w:t>align governing law and dispute forum unless a deliberate alternative is approved.</w:t>
      </w:r>
    </w:p>
    <w:p w14:paraId="7940D71A" w14:textId="77777777" w:rsidR="00D315F1" w:rsidRDefault="00000000">
      <w:pPr>
        <w:pStyle w:val="Heading3"/>
      </w:pPr>
      <w:bookmarkStart w:id="3" w:name="3-playbook-table"/>
      <w:bookmarkEnd w:id="3"/>
      <w:r>
        <w:t>3. Playbook Table</w:t>
      </w:r>
    </w:p>
    <w:tbl>
      <w:tblPr>
        <w:tblW w:w="11506" w:type="dxa"/>
        <w:tblLayout w:type="fixed"/>
        <w:tblCellMar>
          <w:top w:w="28" w:type="dxa"/>
          <w:left w:w="28" w:type="dxa"/>
          <w:bottom w:w="28" w:type="dxa"/>
          <w:right w:w="28" w:type="dxa"/>
        </w:tblCellMar>
        <w:tblLook w:val="04A0" w:firstRow="1" w:lastRow="0" w:firstColumn="1" w:lastColumn="0" w:noHBand="0" w:noVBand="1"/>
      </w:tblPr>
      <w:tblGrid>
        <w:gridCol w:w="1713"/>
        <w:gridCol w:w="2480"/>
        <w:gridCol w:w="1994"/>
        <w:gridCol w:w="2245"/>
        <w:gridCol w:w="3074"/>
      </w:tblGrid>
      <w:tr w:rsidR="00D315F1" w14:paraId="0F9259EA" w14:textId="77777777">
        <w:trPr>
          <w:tblHeader/>
        </w:trPr>
        <w:tc>
          <w:tcPr>
            <w:tcW w:w="1713" w:type="dxa"/>
            <w:vAlign w:val="center"/>
          </w:tcPr>
          <w:p w14:paraId="4788FA5A" w14:textId="77777777" w:rsidR="00D315F1" w:rsidRDefault="00000000">
            <w:pPr>
              <w:pStyle w:val="TableHeading"/>
            </w:pPr>
            <w:r>
              <w:t>Topic</w:t>
            </w:r>
          </w:p>
        </w:tc>
        <w:tc>
          <w:tcPr>
            <w:tcW w:w="2480" w:type="dxa"/>
            <w:vAlign w:val="center"/>
          </w:tcPr>
          <w:p w14:paraId="6CF93CEA" w14:textId="77777777" w:rsidR="00D315F1" w:rsidRDefault="00000000">
            <w:pPr>
              <w:pStyle w:val="TableHeading"/>
            </w:pPr>
            <w:r>
              <w:t>Preferred Position</w:t>
            </w:r>
          </w:p>
        </w:tc>
        <w:tc>
          <w:tcPr>
            <w:tcW w:w="1994" w:type="dxa"/>
            <w:vAlign w:val="center"/>
          </w:tcPr>
          <w:p w14:paraId="30A2BE44" w14:textId="77777777" w:rsidR="00D315F1" w:rsidRDefault="00000000">
            <w:pPr>
              <w:pStyle w:val="TableHeading"/>
            </w:pPr>
            <w:r>
              <w:t>Rationale</w:t>
            </w:r>
          </w:p>
        </w:tc>
        <w:tc>
          <w:tcPr>
            <w:tcW w:w="2245" w:type="dxa"/>
            <w:vAlign w:val="center"/>
          </w:tcPr>
          <w:p w14:paraId="6E6A07B3" w14:textId="77777777" w:rsidR="00D315F1" w:rsidRDefault="00000000">
            <w:pPr>
              <w:pStyle w:val="TableHeading"/>
            </w:pPr>
            <w:r>
              <w:t>Acceptable Fallback</w:t>
            </w:r>
          </w:p>
        </w:tc>
        <w:tc>
          <w:tcPr>
            <w:tcW w:w="3074" w:type="dxa"/>
            <w:vAlign w:val="center"/>
          </w:tcPr>
          <w:p w14:paraId="74B6456D" w14:textId="77777777" w:rsidR="00D315F1" w:rsidRDefault="00000000">
            <w:pPr>
              <w:pStyle w:val="TableHeading"/>
            </w:pPr>
            <w:r>
              <w:t>Red Flags / Reject Position</w:t>
            </w:r>
          </w:p>
        </w:tc>
      </w:tr>
      <w:tr w:rsidR="00D315F1" w14:paraId="7F9BCA9A" w14:textId="77777777">
        <w:tc>
          <w:tcPr>
            <w:tcW w:w="1713" w:type="dxa"/>
            <w:vAlign w:val="center"/>
          </w:tcPr>
          <w:p w14:paraId="7C902E76" w14:textId="77777777" w:rsidR="00D315F1" w:rsidRDefault="00000000">
            <w:pPr>
              <w:pStyle w:val="TableContents"/>
            </w:pPr>
            <w:r>
              <w:t>Purpose</w:t>
            </w:r>
          </w:p>
        </w:tc>
        <w:tc>
          <w:tcPr>
            <w:tcW w:w="2480" w:type="dxa"/>
            <w:vAlign w:val="center"/>
          </w:tcPr>
          <w:p w14:paraId="42535782" w14:textId="77777777" w:rsidR="00D315F1" w:rsidRDefault="00000000">
            <w:pPr>
              <w:pStyle w:val="TableContents"/>
            </w:pPr>
            <w:r>
              <w:t>Use of Confidential Information must be limited to a specific and clearly described evaluation purpose.</w:t>
            </w:r>
          </w:p>
        </w:tc>
        <w:tc>
          <w:tcPr>
            <w:tcW w:w="1994" w:type="dxa"/>
            <w:vAlign w:val="center"/>
          </w:tcPr>
          <w:p w14:paraId="1250EC9F" w14:textId="77777777" w:rsidR="00D315F1" w:rsidRDefault="00000000">
            <w:pPr>
              <w:pStyle w:val="TableContents"/>
            </w:pPr>
            <w:r>
              <w:t>A narrow purpose reduces misuse risk and limits implied permission for broader exploitation.</w:t>
            </w:r>
          </w:p>
        </w:tc>
        <w:tc>
          <w:tcPr>
            <w:tcW w:w="2245" w:type="dxa"/>
            <w:vAlign w:val="center"/>
          </w:tcPr>
          <w:p w14:paraId="459253CC" w14:textId="77777777" w:rsidR="00D315F1" w:rsidRDefault="00000000">
            <w:pPr>
              <w:pStyle w:val="TableContents"/>
            </w:pPr>
            <w:r>
              <w:t>Permit use for evaluating a proposed business relationship, transaction, service arrangement, or project, if clearly defined.</w:t>
            </w:r>
          </w:p>
        </w:tc>
        <w:tc>
          <w:tcPr>
            <w:tcW w:w="3074" w:type="dxa"/>
            <w:vAlign w:val="center"/>
          </w:tcPr>
          <w:p w14:paraId="19A59041" w14:textId="77777777" w:rsidR="00D315F1" w:rsidRDefault="00000000">
            <w:pPr>
              <w:pStyle w:val="TableContents"/>
            </w:pPr>
            <w:r>
              <w:t>Broad formulations such as "business relationship," "strategic opportunities," or any use that could support product development, commercial exploitation, or competitive activity.</w:t>
            </w:r>
          </w:p>
        </w:tc>
      </w:tr>
      <w:tr w:rsidR="00D315F1" w14:paraId="69CABE79" w14:textId="77777777">
        <w:tc>
          <w:tcPr>
            <w:tcW w:w="1713" w:type="dxa"/>
            <w:vAlign w:val="center"/>
          </w:tcPr>
          <w:p w14:paraId="16B8709B" w14:textId="77777777" w:rsidR="00D315F1" w:rsidRDefault="00000000">
            <w:pPr>
              <w:pStyle w:val="TableContents"/>
            </w:pPr>
            <w:r>
              <w:t>Definition of Confidential Information</w:t>
            </w:r>
          </w:p>
        </w:tc>
        <w:tc>
          <w:tcPr>
            <w:tcW w:w="2480" w:type="dxa"/>
            <w:vAlign w:val="center"/>
          </w:tcPr>
          <w:p w14:paraId="3CC4AB1F" w14:textId="77777777" w:rsidR="00D315F1" w:rsidRDefault="00000000">
            <w:pPr>
              <w:pStyle w:val="TableContents"/>
            </w:pPr>
            <w:r>
              <w:t xml:space="preserve">Define broadly to include information disclosed in any form, whether oral, written, electronic, visual, or by inspection, including notes, analyses, summaries, extracts, and materials derived from the disclosed information. Include pre-signing disclosures only </w:t>
            </w:r>
            <w:r>
              <w:lastRenderedPageBreak/>
              <w:t>if intended.</w:t>
            </w:r>
          </w:p>
        </w:tc>
        <w:tc>
          <w:tcPr>
            <w:tcW w:w="1994" w:type="dxa"/>
            <w:vAlign w:val="center"/>
          </w:tcPr>
          <w:p w14:paraId="5FE5A2AB" w14:textId="77777777" w:rsidR="00D315F1" w:rsidRDefault="00000000">
            <w:pPr>
              <w:pStyle w:val="TableContents"/>
            </w:pPr>
            <w:r>
              <w:lastRenderedPageBreak/>
              <w:t>Broad coverage avoids disputes over format, method of disclosure, or derivative work product.</w:t>
            </w:r>
          </w:p>
        </w:tc>
        <w:tc>
          <w:tcPr>
            <w:tcW w:w="2245" w:type="dxa"/>
            <w:vAlign w:val="center"/>
          </w:tcPr>
          <w:p w14:paraId="079E753B" w14:textId="77777777" w:rsidR="00D315F1" w:rsidRDefault="00000000">
            <w:pPr>
              <w:pStyle w:val="TableContents"/>
            </w:pPr>
            <w:r>
              <w:t>Information disclosed in tangible or intangible form, whether or not marked confidential, provided exclusions are robust.</w:t>
            </w:r>
          </w:p>
        </w:tc>
        <w:tc>
          <w:tcPr>
            <w:tcW w:w="3074" w:type="dxa"/>
            <w:vAlign w:val="center"/>
          </w:tcPr>
          <w:p w14:paraId="65041C9E" w14:textId="77777777" w:rsidR="00D315F1" w:rsidRDefault="00000000">
            <w:pPr>
              <w:pStyle w:val="TableContents"/>
            </w:pPr>
            <w:r>
              <w:t>Definitions limited only to marked materials or that omit oral disclosures, derivative materials, or affiliate disclosures where needed.</w:t>
            </w:r>
          </w:p>
        </w:tc>
      </w:tr>
      <w:tr w:rsidR="00D315F1" w14:paraId="0B19B060" w14:textId="77777777">
        <w:tc>
          <w:tcPr>
            <w:tcW w:w="1713" w:type="dxa"/>
            <w:vAlign w:val="center"/>
          </w:tcPr>
          <w:p w14:paraId="21FA296F" w14:textId="77777777" w:rsidR="00D315F1" w:rsidRDefault="00000000">
            <w:pPr>
              <w:pStyle w:val="TableContents"/>
            </w:pPr>
            <w:r>
              <w:t>Exclusions</w:t>
            </w:r>
          </w:p>
        </w:tc>
        <w:tc>
          <w:tcPr>
            <w:tcW w:w="2480" w:type="dxa"/>
            <w:vAlign w:val="center"/>
          </w:tcPr>
          <w:p w14:paraId="15145C5F" w14:textId="77777777" w:rsidR="00D315F1" w:rsidRDefault="00000000">
            <w:pPr>
              <w:pStyle w:val="TableContents"/>
            </w:pPr>
            <w:r>
              <w:t>Confidentiality obligations must not apply to information that is public other than through breach, already lawfully known without restriction, lawfully obtained from a third party without confidentiality duty, or independently developed without use of Confidential Information.</w:t>
            </w:r>
          </w:p>
        </w:tc>
        <w:tc>
          <w:tcPr>
            <w:tcW w:w="1994" w:type="dxa"/>
            <w:vAlign w:val="center"/>
          </w:tcPr>
          <w:p w14:paraId="49286235" w14:textId="77777777" w:rsidR="00D315F1" w:rsidRDefault="00000000">
            <w:pPr>
              <w:pStyle w:val="TableContents"/>
            </w:pPr>
            <w:r>
              <w:t>Standard exclusions prevent overreach and preserve legitimate business activity.</w:t>
            </w:r>
          </w:p>
        </w:tc>
        <w:tc>
          <w:tcPr>
            <w:tcW w:w="2245" w:type="dxa"/>
            <w:vAlign w:val="center"/>
          </w:tcPr>
          <w:p w14:paraId="2D4C5FD9" w14:textId="77777777" w:rsidR="00D315F1" w:rsidRDefault="00000000">
            <w:pPr>
              <w:pStyle w:val="TableContents"/>
            </w:pPr>
            <w:r>
              <w:t>If needed, require the receiving party to demonstrate exclusions with contemporaneous written records for prior knowledge or independent development.</w:t>
            </w:r>
          </w:p>
        </w:tc>
        <w:tc>
          <w:tcPr>
            <w:tcW w:w="3074" w:type="dxa"/>
            <w:vAlign w:val="center"/>
          </w:tcPr>
          <w:p w14:paraId="6605E471" w14:textId="77777777" w:rsidR="00D315F1" w:rsidRDefault="00000000">
            <w:pPr>
              <w:pStyle w:val="TableContents"/>
            </w:pPr>
            <w:r>
              <w:t>Exclusions limited only to publicly available information, or omission of prior knowledge, third-party source, or independent development carve-outs.</w:t>
            </w:r>
          </w:p>
        </w:tc>
      </w:tr>
      <w:tr w:rsidR="00D315F1" w14:paraId="35E67CC4" w14:textId="77777777">
        <w:tc>
          <w:tcPr>
            <w:tcW w:w="1713" w:type="dxa"/>
            <w:vAlign w:val="center"/>
          </w:tcPr>
          <w:p w14:paraId="739006DF" w14:textId="77777777" w:rsidR="00D315F1" w:rsidRDefault="00000000">
            <w:pPr>
              <w:pStyle w:val="TableContents"/>
            </w:pPr>
            <w:r>
              <w:t>Permitted Recipients</w:t>
            </w:r>
          </w:p>
        </w:tc>
        <w:tc>
          <w:tcPr>
            <w:tcW w:w="2480" w:type="dxa"/>
            <w:vAlign w:val="center"/>
          </w:tcPr>
          <w:p w14:paraId="77649B75" w14:textId="77777777" w:rsidR="00D315F1" w:rsidRDefault="00000000">
            <w:pPr>
              <w:pStyle w:val="TableContents"/>
            </w:pPr>
            <w:r>
              <w:t>Disclosure should be allowed only to directors, officers, employees, affiliates, professional advisers, financing sources, and contractors who need to know for the permitted purpose.</w:t>
            </w:r>
          </w:p>
        </w:tc>
        <w:tc>
          <w:tcPr>
            <w:tcW w:w="1994" w:type="dxa"/>
            <w:vAlign w:val="center"/>
          </w:tcPr>
          <w:p w14:paraId="69ACE0D8" w14:textId="77777777" w:rsidR="00D315F1" w:rsidRDefault="00000000">
            <w:pPr>
              <w:pStyle w:val="TableContents"/>
            </w:pPr>
            <w:r>
              <w:t>Limits unnecessary dissemination and keeps confidentiality obligations operationally manageable.</w:t>
            </w:r>
          </w:p>
        </w:tc>
        <w:tc>
          <w:tcPr>
            <w:tcW w:w="2245" w:type="dxa"/>
            <w:vAlign w:val="center"/>
          </w:tcPr>
          <w:p w14:paraId="283ABCBA" w14:textId="77777777" w:rsidR="00D315F1" w:rsidRDefault="00000000">
            <w:pPr>
              <w:pStyle w:val="TableContents"/>
            </w:pPr>
            <w:r>
              <w:t>Expand the categories of permitted recipients where commercially required, if still limited by need-to-know and confidentiality obligations.</w:t>
            </w:r>
          </w:p>
        </w:tc>
        <w:tc>
          <w:tcPr>
            <w:tcW w:w="3074" w:type="dxa"/>
            <w:vAlign w:val="center"/>
          </w:tcPr>
          <w:p w14:paraId="7066E184" w14:textId="77777777" w:rsidR="00D315F1" w:rsidRDefault="00000000">
            <w:pPr>
              <w:pStyle w:val="TableContents"/>
            </w:pPr>
            <w:r>
              <w:t>Open-ended disclosure rights to any representative, investor, consultant, or other third party without restrictions.</w:t>
            </w:r>
          </w:p>
        </w:tc>
      </w:tr>
      <w:tr w:rsidR="00D315F1" w14:paraId="38A0BAD6" w14:textId="77777777">
        <w:tc>
          <w:tcPr>
            <w:tcW w:w="1713" w:type="dxa"/>
            <w:vAlign w:val="center"/>
          </w:tcPr>
          <w:p w14:paraId="664D2FC3" w14:textId="77777777" w:rsidR="00D315F1" w:rsidRDefault="00000000">
            <w:pPr>
              <w:pStyle w:val="TableContents"/>
            </w:pPr>
            <w:r>
              <w:t>Confidentiality Obligations of Representatives</w:t>
            </w:r>
          </w:p>
        </w:tc>
        <w:tc>
          <w:tcPr>
            <w:tcW w:w="2480" w:type="dxa"/>
            <w:vAlign w:val="center"/>
          </w:tcPr>
          <w:p w14:paraId="3A2E2D66" w14:textId="77777777" w:rsidR="00D315F1" w:rsidRDefault="00000000">
            <w:pPr>
              <w:pStyle w:val="TableContents"/>
            </w:pPr>
            <w:r>
              <w:t>All permitted recipients must be bound by written, professional, or statutory confidentiality obligations at least as protective as the NDA. The receiving party remains responsible for breaches by its representatives.</w:t>
            </w:r>
          </w:p>
        </w:tc>
        <w:tc>
          <w:tcPr>
            <w:tcW w:w="1994" w:type="dxa"/>
            <w:vAlign w:val="center"/>
          </w:tcPr>
          <w:p w14:paraId="18906891" w14:textId="77777777" w:rsidR="00D315F1" w:rsidRDefault="00000000">
            <w:pPr>
              <w:pStyle w:val="TableContents"/>
            </w:pPr>
            <w:r>
              <w:t>Ensures downstream protection and avoids enforcement gaps.</w:t>
            </w:r>
          </w:p>
        </w:tc>
        <w:tc>
          <w:tcPr>
            <w:tcW w:w="2245" w:type="dxa"/>
            <w:vAlign w:val="center"/>
          </w:tcPr>
          <w:p w14:paraId="7708333A" w14:textId="77777777" w:rsidR="00D315F1" w:rsidRDefault="00000000">
            <w:pPr>
              <w:pStyle w:val="TableContents"/>
            </w:pPr>
            <w:r>
              <w:t>Confidentiality obligations may arise under employment terms, professional duties, or internal policies if they provide substantially similar protection.</w:t>
            </w:r>
          </w:p>
        </w:tc>
        <w:tc>
          <w:tcPr>
            <w:tcW w:w="3074" w:type="dxa"/>
            <w:vAlign w:val="center"/>
          </w:tcPr>
          <w:p w14:paraId="10A22CE3" w14:textId="77777777" w:rsidR="00D315F1" w:rsidRDefault="00000000">
            <w:pPr>
              <w:pStyle w:val="TableContents"/>
            </w:pPr>
            <w:r>
              <w:t>No obligation to ensure representatives are bound, and no responsibility for their misuse or disclosure.</w:t>
            </w:r>
          </w:p>
        </w:tc>
      </w:tr>
      <w:tr w:rsidR="00D315F1" w14:paraId="096278FF" w14:textId="77777777">
        <w:tc>
          <w:tcPr>
            <w:tcW w:w="1713" w:type="dxa"/>
            <w:vAlign w:val="center"/>
          </w:tcPr>
          <w:p w14:paraId="092C6A54" w14:textId="77777777" w:rsidR="00D315F1" w:rsidRDefault="00000000">
            <w:pPr>
              <w:pStyle w:val="TableContents"/>
            </w:pPr>
            <w:r>
              <w:t>Use Restrictions</w:t>
            </w:r>
          </w:p>
        </w:tc>
        <w:tc>
          <w:tcPr>
            <w:tcW w:w="2480" w:type="dxa"/>
            <w:vAlign w:val="center"/>
          </w:tcPr>
          <w:p w14:paraId="07F7D00B" w14:textId="77777777" w:rsidR="00D315F1" w:rsidRDefault="00000000">
            <w:pPr>
              <w:pStyle w:val="TableContents"/>
            </w:pPr>
            <w:r>
              <w:t>Separate use restrictions from non-disclosure restrictions. Confidential Information may be used only for the defined purpose and not for any other internal or external purpose.</w:t>
            </w:r>
          </w:p>
        </w:tc>
        <w:tc>
          <w:tcPr>
            <w:tcW w:w="1994" w:type="dxa"/>
            <w:vAlign w:val="center"/>
          </w:tcPr>
          <w:p w14:paraId="48F4D9F6" w14:textId="77777777" w:rsidR="00D315F1" w:rsidRDefault="00000000">
            <w:pPr>
              <w:pStyle w:val="TableContents"/>
            </w:pPr>
            <w:r>
              <w:t>Distinct use restrictions close loopholes where information is not disclosed but is still misused.</w:t>
            </w:r>
          </w:p>
        </w:tc>
        <w:tc>
          <w:tcPr>
            <w:tcW w:w="2245" w:type="dxa"/>
            <w:vAlign w:val="center"/>
          </w:tcPr>
          <w:p w14:paraId="745A9365" w14:textId="77777777" w:rsidR="00D315F1" w:rsidRDefault="00000000">
            <w:pPr>
              <w:pStyle w:val="TableContents"/>
            </w:pPr>
            <w:r>
              <w:t>Limited internal analysis and diligence use expressly tied to the purpose.</w:t>
            </w:r>
          </w:p>
        </w:tc>
        <w:tc>
          <w:tcPr>
            <w:tcW w:w="3074" w:type="dxa"/>
            <w:vAlign w:val="center"/>
          </w:tcPr>
          <w:p w14:paraId="51D59282" w14:textId="77777777" w:rsidR="00D315F1" w:rsidRDefault="00000000">
            <w:pPr>
              <w:pStyle w:val="TableContents"/>
            </w:pPr>
            <w:r>
              <w:t>Permission to use information for internal planning, product development, strategy, or broader commercial purposes.</w:t>
            </w:r>
          </w:p>
        </w:tc>
      </w:tr>
      <w:tr w:rsidR="00D315F1" w14:paraId="4D8FB638" w14:textId="77777777">
        <w:tc>
          <w:tcPr>
            <w:tcW w:w="1713" w:type="dxa"/>
            <w:vAlign w:val="center"/>
          </w:tcPr>
          <w:p w14:paraId="21C8741A" w14:textId="77777777" w:rsidR="00D315F1" w:rsidRDefault="00000000">
            <w:pPr>
              <w:pStyle w:val="TableContents"/>
            </w:pPr>
            <w:r>
              <w:t xml:space="preserve">Reverse Engineering / </w:t>
            </w:r>
            <w:r>
              <w:lastRenderedPageBreak/>
              <w:t>Competitive Use</w:t>
            </w:r>
          </w:p>
        </w:tc>
        <w:tc>
          <w:tcPr>
            <w:tcW w:w="2480" w:type="dxa"/>
            <w:vAlign w:val="center"/>
          </w:tcPr>
          <w:p w14:paraId="221ADC65" w14:textId="77777777" w:rsidR="00D315F1" w:rsidRDefault="00000000">
            <w:pPr>
              <w:pStyle w:val="TableContents"/>
            </w:pPr>
            <w:r>
              <w:lastRenderedPageBreak/>
              <w:t xml:space="preserve">Prohibit reverse engineering, </w:t>
            </w:r>
            <w:r>
              <w:lastRenderedPageBreak/>
              <w:t>decompilation, disassembly, benchmarking, competitive use, and circumvention where relevant to the transaction.</w:t>
            </w:r>
          </w:p>
        </w:tc>
        <w:tc>
          <w:tcPr>
            <w:tcW w:w="1994" w:type="dxa"/>
            <w:vAlign w:val="center"/>
          </w:tcPr>
          <w:p w14:paraId="7B85C516" w14:textId="77777777" w:rsidR="00D315F1" w:rsidRDefault="00000000">
            <w:pPr>
              <w:pStyle w:val="TableContents"/>
            </w:pPr>
            <w:r>
              <w:lastRenderedPageBreak/>
              <w:t xml:space="preserve">Particularly important for </w:t>
            </w:r>
            <w:r>
              <w:lastRenderedPageBreak/>
              <w:t>technical, product, software, and strategic disclosures.</w:t>
            </w:r>
          </w:p>
        </w:tc>
        <w:tc>
          <w:tcPr>
            <w:tcW w:w="2245" w:type="dxa"/>
            <w:vAlign w:val="center"/>
          </w:tcPr>
          <w:p w14:paraId="55E6D840" w14:textId="77777777" w:rsidR="00D315F1" w:rsidRDefault="00000000">
            <w:pPr>
              <w:pStyle w:val="TableContents"/>
            </w:pPr>
            <w:r>
              <w:lastRenderedPageBreak/>
              <w:t xml:space="preserve">Include this protection where the nature of </w:t>
            </w:r>
            <w:r>
              <w:lastRenderedPageBreak/>
              <w:t>the information makes misuse risk material.</w:t>
            </w:r>
          </w:p>
        </w:tc>
        <w:tc>
          <w:tcPr>
            <w:tcW w:w="3074" w:type="dxa"/>
            <w:vAlign w:val="center"/>
          </w:tcPr>
          <w:p w14:paraId="1402E173" w14:textId="77777777" w:rsidR="00D315F1" w:rsidRDefault="00000000">
            <w:pPr>
              <w:pStyle w:val="TableContents"/>
            </w:pPr>
            <w:r>
              <w:lastRenderedPageBreak/>
              <w:t xml:space="preserve">Silence on reverse engineering or use restrictions in </w:t>
            </w:r>
            <w:r>
              <w:lastRenderedPageBreak/>
              <w:t>technology-driven or competitive contexts.</w:t>
            </w:r>
          </w:p>
        </w:tc>
      </w:tr>
      <w:tr w:rsidR="00D315F1" w14:paraId="365C7F36" w14:textId="77777777">
        <w:tc>
          <w:tcPr>
            <w:tcW w:w="1713" w:type="dxa"/>
            <w:vAlign w:val="center"/>
          </w:tcPr>
          <w:p w14:paraId="1D4E5A16" w14:textId="77777777" w:rsidR="00D315F1" w:rsidRDefault="00000000">
            <w:pPr>
              <w:pStyle w:val="TableContents"/>
            </w:pPr>
            <w:r>
              <w:lastRenderedPageBreak/>
              <w:t>Agreement Term</w:t>
            </w:r>
          </w:p>
        </w:tc>
        <w:tc>
          <w:tcPr>
            <w:tcW w:w="2480" w:type="dxa"/>
            <w:vAlign w:val="center"/>
          </w:tcPr>
          <w:p w14:paraId="61E2CC5E" w14:textId="77777777" w:rsidR="00D315F1" w:rsidRDefault="00000000">
            <w:pPr>
              <w:pStyle w:val="TableContents"/>
            </w:pPr>
            <w:r>
              <w:t>The NDA should have a fixed term, such as one to three years, or continue until terminated on written notice.</w:t>
            </w:r>
          </w:p>
        </w:tc>
        <w:tc>
          <w:tcPr>
            <w:tcW w:w="1994" w:type="dxa"/>
            <w:vAlign w:val="center"/>
          </w:tcPr>
          <w:p w14:paraId="54C70BD6" w14:textId="77777777" w:rsidR="00D315F1" w:rsidRDefault="00000000">
            <w:pPr>
              <w:pStyle w:val="TableContents"/>
            </w:pPr>
            <w:r>
              <w:t>A defined term provides clarity and avoids accidental perpetual obligations at the agreement level.</w:t>
            </w:r>
          </w:p>
        </w:tc>
        <w:tc>
          <w:tcPr>
            <w:tcW w:w="2245" w:type="dxa"/>
            <w:vAlign w:val="center"/>
          </w:tcPr>
          <w:p w14:paraId="731DFAD6" w14:textId="77777777" w:rsidR="00D315F1" w:rsidRDefault="00000000">
            <w:pPr>
              <w:pStyle w:val="TableContents"/>
            </w:pPr>
            <w:r>
              <w:t>Terminable on 30 days' written notice.</w:t>
            </w:r>
          </w:p>
        </w:tc>
        <w:tc>
          <w:tcPr>
            <w:tcW w:w="3074" w:type="dxa"/>
            <w:vAlign w:val="center"/>
          </w:tcPr>
          <w:p w14:paraId="602CEBBC" w14:textId="77777777" w:rsidR="00D315F1" w:rsidRDefault="00000000">
            <w:pPr>
              <w:pStyle w:val="TableContents"/>
            </w:pPr>
            <w:r>
              <w:t>Indefinite term without a clear termination right, especially if combined with ambiguous survival wording.</w:t>
            </w:r>
          </w:p>
        </w:tc>
      </w:tr>
      <w:tr w:rsidR="00D315F1" w14:paraId="4C698E6A" w14:textId="77777777">
        <w:tc>
          <w:tcPr>
            <w:tcW w:w="1713" w:type="dxa"/>
            <w:vAlign w:val="center"/>
          </w:tcPr>
          <w:p w14:paraId="15891462" w14:textId="77777777" w:rsidR="00D315F1" w:rsidRDefault="00000000">
            <w:pPr>
              <w:pStyle w:val="TableContents"/>
            </w:pPr>
            <w:r>
              <w:t>Survival of Confidentiality Obligations</w:t>
            </w:r>
          </w:p>
        </w:tc>
        <w:tc>
          <w:tcPr>
            <w:tcW w:w="2480" w:type="dxa"/>
            <w:vAlign w:val="center"/>
          </w:tcPr>
          <w:p w14:paraId="46DFBE4E" w14:textId="77777777" w:rsidR="00D315F1" w:rsidRDefault="00000000">
            <w:pPr>
              <w:pStyle w:val="TableContents"/>
            </w:pPr>
            <w:r>
              <w:t>Confidentiality and use restrictions should survive for three to five years after disclosure or termination, with separate treatment for trade secrets.</w:t>
            </w:r>
          </w:p>
        </w:tc>
        <w:tc>
          <w:tcPr>
            <w:tcW w:w="1994" w:type="dxa"/>
            <w:vAlign w:val="center"/>
          </w:tcPr>
          <w:p w14:paraId="109493DA" w14:textId="77777777" w:rsidR="00D315F1" w:rsidRDefault="00000000">
            <w:pPr>
              <w:pStyle w:val="TableContents"/>
            </w:pPr>
            <w:r>
              <w:t>This is a common commercial range and better protects sensitive information.</w:t>
            </w:r>
          </w:p>
        </w:tc>
        <w:tc>
          <w:tcPr>
            <w:tcW w:w="2245" w:type="dxa"/>
            <w:vAlign w:val="center"/>
          </w:tcPr>
          <w:p w14:paraId="2EF8B9AF" w14:textId="77777777" w:rsidR="00D315F1" w:rsidRDefault="00000000">
            <w:pPr>
              <w:pStyle w:val="TableContents"/>
            </w:pPr>
            <w:r>
              <w:t>Two to three years for lower-risk business discussions.</w:t>
            </w:r>
          </w:p>
        </w:tc>
        <w:tc>
          <w:tcPr>
            <w:tcW w:w="3074" w:type="dxa"/>
            <w:vAlign w:val="center"/>
          </w:tcPr>
          <w:p w14:paraId="16F83DDA" w14:textId="77777777" w:rsidR="00D315F1" w:rsidRDefault="00000000">
            <w:pPr>
              <w:pStyle w:val="TableContents"/>
            </w:pPr>
            <w:r>
              <w:t>Flat short survival periods for all information, especially where highly sensitive or technical information is involved.</w:t>
            </w:r>
          </w:p>
        </w:tc>
      </w:tr>
      <w:tr w:rsidR="00D315F1" w14:paraId="320495F2" w14:textId="77777777">
        <w:tc>
          <w:tcPr>
            <w:tcW w:w="1713" w:type="dxa"/>
            <w:vAlign w:val="center"/>
          </w:tcPr>
          <w:p w14:paraId="08895785" w14:textId="77777777" w:rsidR="00D315F1" w:rsidRDefault="00000000">
            <w:pPr>
              <w:pStyle w:val="TableContents"/>
            </w:pPr>
            <w:r>
              <w:t>Trade Secrets</w:t>
            </w:r>
          </w:p>
        </w:tc>
        <w:tc>
          <w:tcPr>
            <w:tcW w:w="2480" w:type="dxa"/>
            <w:vAlign w:val="center"/>
          </w:tcPr>
          <w:p w14:paraId="17EF4915" w14:textId="77777777" w:rsidR="00D315F1" w:rsidRDefault="00000000">
            <w:pPr>
              <w:pStyle w:val="TableContents"/>
            </w:pPr>
            <w:r>
              <w:t>Trade secrets and similarly sensitive proprietary information should remain protected for so long as they remain trade secrets under applicable law.</w:t>
            </w:r>
          </w:p>
        </w:tc>
        <w:tc>
          <w:tcPr>
            <w:tcW w:w="1994" w:type="dxa"/>
            <w:vAlign w:val="center"/>
          </w:tcPr>
          <w:p w14:paraId="51D37435" w14:textId="77777777" w:rsidR="00D315F1" w:rsidRDefault="00000000">
            <w:pPr>
              <w:pStyle w:val="TableContents"/>
            </w:pPr>
            <w:r>
              <w:t>Fixed short periods are often inadequate for trade secrets.</w:t>
            </w:r>
          </w:p>
        </w:tc>
        <w:tc>
          <w:tcPr>
            <w:tcW w:w="2245" w:type="dxa"/>
            <w:vAlign w:val="center"/>
          </w:tcPr>
          <w:p w14:paraId="381DFD55" w14:textId="77777777" w:rsidR="00D315F1" w:rsidRDefault="00000000">
            <w:pPr>
              <w:pStyle w:val="TableContents"/>
            </w:pPr>
            <w:r>
              <w:t>Longer survival period than general confidential information if indefinite protection is resisted.</w:t>
            </w:r>
          </w:p>
        </w:tc>
        <w:tc>
          <w:tcPr>
            <w:tcW w:w="3074" w:type="dxa"/>
            <w:vAlign w:val="center"/>
          </w:tcPr>
          <w:p w14:paraId="718C64D1" w14:textId="77777777" w:rsidR="00D315F1" w:rsidRDefault="00000000">
            <w:pPr>
              <w:pStyle w:val="TableContents"/>
            </w:pPr>
            <w:r>
              <w:t>Applying the same short expiry period to trade secrets as to ordinary business information.</w:t>
            </w:r>
          </w:p>
        </w:tc>
      </w:tr>
      <w:tr w:rsidR="00D315F1" w14:paraId="5F4B3303" w14:textId="77777777">
        <w:tc>
          <w:tcPr>
            <w:tcW w:w="1713" w:type="dxa"/>
            <w:vAlign w:val="center"/>
          </w:tcPr>
          <w:p w14:paraId="74F92DAB" w14:textId="77777777" w:rsidR="00D315F1" w:rsidRDefault="00000000">
            <w:pPr>
              <w:pStyle w:val="TableContents"/>
            </w:pPr>
            <w:r>
              <w:t>Return / Destruction</w:t>
            </w:r>
          </w:p>
        </w:tc>
        <w:tc>
          <w:tcPr>
            <w:tcW w:w="2480" w:type="dxa"/>
            <w:vAlign w:val="center"/>
          </w:tcPr>
          <w:p w14:paraId="1659E146" w14:textId="77777777" w:rsidR="00D315F1" w:rsidRDefault="00000000">
            <w:pPr>
              <w:pStyle w:val="TableContents"/>
            </w:pPr>
            <w:r>
              <w:t>On request or termination, the receiving party must promptly return or destroy Confidential Information, subject to limited carve-outs for automatic backup copies, legal/regulatory retention, and one compliance record copy. Any retained information remains subject to the NDA.</w:t>
            </w:r>
          </w:p>
        </w:tc>
        <w:tc>
          <w:tcPr>
            <w:tcW w:w="1994" w:type="dxa"/>
            <w:vAlign w:val="center"/>
          </w:tcPr>
          <w:p w14:paraId="11240057" w14:textId="77777777" w:rsidR="00D315F1" w:rsidRDefault="00000000">
            <w:pPr>
              <w:pStyle w:val="TableContents"/>
            </w:pPr>
            <w:r>
              <w:t>Ensures practical compliance without disrupting ordinary IT or recordkeeping systems.</w:t>
            </w:r>
          </w:p>
        </w:tc>
        <w:tc>
          <w:tcPr>
            <w:tcW w:w="2245" w:type="dxa"/>
            <w:vAlign w:val="center"/>
          </w:tcPr>
          <w:p w14:paraId="2D2DCF24" w14:textId="77777777" w:rsidR="00D315F1" w:rsidRDefault="00000000">
            <w:pPr>
              <w:pStyle w:val="TableContents"/>
            </w:pPr>
            <w:r>
              <w:t>Return or destruction at the receiving party's option, with written certification on request.</w:t>
            </w:r>
          </w:p>
        </w:tc>
        <w:tc>
          <w:tcPr>
            <w:tcW w:w="3074" w:type="dxa"/>
            <w:vAlign w:val="center"/>
          </w:tcPr>
          <w:p w14:paraId="51706122" w14:textId="77777777" w:rsidR="00D315F1" w:rsidRDefault="00000000">
            <w:pPr>
              <w:pStyle w:val="TableContents"/>
            </w:pPr>
            <w:r>
              <w:t>Unlimited retention rights, no obligation to protect retained copies, or immediate deletion obligations that are operationally unrealistic.</w:t>
            </w:r>
          </w:p>
        </w:tc>
      </w:tr>
      <w:tr w:rsidR="00D315F1" w14:paraId="2619BBE9" w14:textId="77777777">
        <w:tc>
          <w:tcPr>
            <w:tcW w:w="1713" w:type="dxa"/>
            <w:vAlign w:val="center"/>
          </w:tcPr>
          <w:p w14:paraId="62F0D5E0" w14:textId="77777777" w:rsidR="00D315F1" w:rsidRDefault="00000000">
            <w:pPr>
              <w:pStyle w:val="TableContents"/>
            </w:pPr>
            <w:r>
              <w:t>Compelled Disclosure</w:t>
            </w:r>
          </w:p>
        </w:tc>
        <w:tc>
          <w:tcPr>
            <w:tcW w:w="2480" w:type="dxa"/>
            <w:vAlign w:val="center"/>
          </w:tcPr>
          <w:p w14:paraId="4C49DFC5" w14:textId="77777777" w:rsidR="00D315F1" w:rsidRDefault="00000000">
            <w:pPr>
              <w:pStyle w:val="TableContents"/>
            </w:pPr>
            <w:r>
              <w:t xml:space="preserve">Permit disclosure required by law, regulation, court order, </w:t>
            </w:r>
            <w:r>
              <w:lastRenderedPageBreak/>
              <w:t>stock exchange rule, or regulator, provided the receiving party gives prompt notice where legally permitted, discloses only what is legally required, and reasonably cooperates in seeking confidential treatment.</w:t>
            </w:r>
          </w:p>
        </w:tc>
        <w:tc>
          <w:tcPr>
            <w:tcW w:w="1994" w:type="dxa"/>
            <w:vAlign w:val="center"/>
          </w:tcPr>
          <w:p w14:paraId="491A69E6" w14:textId="77777777" w:rsidR="00D315F1" w:rsidRDefault="00000000">
            <w:pPr>
              <w:pStyle w:val="TableContents"/>
            </w:pPr>
            <w:r>
              <w:lastRenderedPageBreak/>
              <w:t xml:space="preserve">This is a standard operational protection and </w:t>
            </w:r>
            <w:r>
              <w:lastRenderedPageBreak/>
              <w:t>helps manage litigation and regulatory processes.</w:t>
            </w:r>
          </w:p>
        </w:tc>
        <w:tc>
          <w:tcPr>
            <w:tcW w:w="2245" w:type="dxa"/>
            <w:vAlign w:val="center"/>
          </w:tcPr>
          <w:p w14:paraId="155D7486" w14:textId="77777777" w:rsidR="00D315F1" w:rsidRDefault="00000000">
            <w:pPr>
              <w:pStyle w:val="TableContents"/>
            </w:pPr>
            <w:r>
              <w:lastRenderedPageBreak/>
              <w:t xml:space="preserve">Notice only "to the extent legally permitted" and </w:t>
            </w:r>
            <w:r>
              <w:lastRenderedPageBreak/>
              <w:t>cooperation "at the disclosing party's cost."</w:t>
            </w:r>
          </w:p>
        </w:tc>
        <w:tc>
          <w:tcPr>
            <w:tcW w:w="3074" w:type="dxa"/>
            <w:vAlign w:val="center"/>
          </w:tcPr>
          <w:p w14:paraId="3D4BF599" w14:textId="77777777" w:rsidR="00D315F1" w:rsidRDefault="00000000">
            <w:pPr>
              <w:pStyle w:val="TableContents"/>
            </w:pPr>
            <w:r>
              <w:lastRenderedPageBreak/>
              <w:t xml:space="preserve">Unqualified right to disclose at the receiving party's discretion </w:t>
            </w:r>
            <w:r>
              <w:lastRenderedPageBreak/>
              <w:t>without notice or limitation.</w:t>
            </w:r>
          </w:p>
        </w:tc>
      </w:tr>
      <w:tr w:rsidR="00D315F1" w14:paraId="2B086AE4" w14:textId="77777777">
        <w:tc>
          <w:tcPr>
            <w:tcW w:w="1713" w:type="dxa"/>
            <w:vAlign w:val="center"/>
          </w:tcPr>
          <w:p w14:paraId="444A9E81" w14:textId="77777777" w:rsidR="00D315F1" w:rsidRDefault="00000000">
            <w:pPr>
              <w:pStyle w:val="TableContents"/>
            </w:pPr>
            <w:r>
              <w:lastRenderedPageBreak/>
              <w:t>Ownership / IP</w:t>
            </w:r>
          </w:p>
        </w:tc>
        <w:tc>
          <w:tcPr>
            <w:tcW w:w="2480" w:type="dxa"/>
            <w:vAlign w:val="center"/>
          </w:tcPr>
          <w:p w14:paraId="7DAF91ED" w14:textId="77777777" w:rsidR="00D315F1" w:rsidRDefault="00000000">
            <w:pPr>
              <w:pStyle w:val="TableContents"/>
            </w:pPr>
            <w:r>
              <w:t>All Confidential Information remains the property of the disclosing party. The NDA must state that no licence, transfer, assignment, or other right is granted except the limited right to use the information for the permitted purpose.</w:t>
            </w:r>
          </w:p>
        </w:tc>
        <w:tc>
          <w:tcPr>
            <w:tcW w:w="1994" w:type="dxa"/>
            <w:vAlign w:val="center"/>
          </w:tcPr>
          <w:p w14:paraId="537E33D9" w14:textId="77777777" w:rsidR="00D315F1" w:rsidRDefault="00000000">
            <w:pPr>
              <w:pStyle w:val="TableContents"/>
            </w:pPr>
            <w:r>
              <w:t>Avoids implied licence arguments and protects underlying IP.</w:t>
            </w:r>
          </w:p>
        </w:tc>
        <w:tc>
          <w:tcPr>
            <w:tcW w:w="2245" w:type="dxa"/>
            <w:vAlign w:val="center"/>
          </w:tcPr>
          <w:p w14:paraId="2B97E453" w14:textId="77777777" w:rsidR="00D315F1" w:rsidRDefault="00000000">
            <w:pPr>
              <w:pStyle w:val="TableContents"/>
            </w:pPr>
            <w:r>
              <w:t>A simple "no licence granted" statement if the clause needs to be streamlined.</w:t>
            </w:r>
          </w:p>
        </w:tc>
        <w:tc>
          <w:tcPr>
            <w:tcW w:w="3074" w:type="dxa"/>
            <w:vAlign w:val="center"/>
          </w:tcPr>
          <w:p w14:paraId="7D1F0B7B" w14:textId="77777777" w:rsidR="00D315F1" w:rsidRDefault="00000000">
            <w:pPr>
              <w:pStyle w:val="TableContents"/>
            </w:pPr>
            <w:r>
              <w:t>Silence on ownership or implied rights, especially in technical or product-related disclosures.</w:t>
            </w:r>
          </w:p>
        </w:tc>
      </w:tr>
      <w:tr w:rsidR="00D315F1" w14:paraId="41057024" w14:textId="77777777">
        <w:tc>
          <w:tcPr>
            <w:tcW w:w="1713" w:type="dxa"/>
            <w:vAlign w:val="center"/>
          </w:tcPr>
          <w:p w14:paraId="7CF97462" w14:textId="77777777" w:rsidR="00D315F1" w:rsidRDefault="00000000">
            <w:pPr>
              <w:pStyle w:val="TableContents"/>
            </w:pPr>
            <w:r>
              <w:t>Warranty / Reliance</w:t>
            </w:r>
          </w:p>
        </w:tc>
        <w:tc>
          <w:tcPr>
            <w:tcW w:w="2480" w:type="dxa"/>
            <w:vAlign w:val="center"/>
          </w:tcPr>
          <w:p w14:paraId="08F2BF5A" w14:textId="77777777" w:rsidR="00D315F1" w:rsidRDefault="00000000">
            <w:pPr>
              <w:pStyle w:val="TableContents"/>
            </w:pPr>
            <w:r>
              <w:t>Confidential Information should be provided "as is" without representation or warranty as to accuracy or completeness, except as expressly set out in a definitive agreement.</w:t>
            </w:r>
          </w:p>
        </w:tc>
        <w:tc>
          <w:tcPr>
            <w:tcW w:w="1994" w:type="dxa"/>
            <w:vAlign w:val="center"/>
          </w:tcPr>
          <w:p w14:paraId="63A39AD0" w14:textId="77777777" w:rsidR="00D315F1" w:rsidRDefault="00000000">
            <w:pPr>
              <w:pStyle w:val="TableContents"/>
            </w:pPr>
            <w:r>
              <w:t>Protects against claims based on exploratory or preliminary information exchanges.</w:t>
            </w:r>
          </w:p>
        </w:tc>
        <w:tc>
          <w:tcPr>
            <w:tcW w:w="2245" w:type="dxa"/>
            <w:vAlign w:val="center"/>
          </w:tcPr>
          <w:p w14:paraId="16770378" w14:textId="77777777" w:rsidR="00D315F1" w:rsidRDefault="00000000">
            <w:pPr>
              <w:pStyle w:val="TableContents"/>
            </w:pPr>
            <w:r>
              <w:t>Disclaimer limited to pre-contractual evaluation materials.</w:t>
            </w:r>
          </w:p>
        </w:tc>
        <w:tc>
          <w:tcPr>
            <w:tcW w:w="3074" w:type="dxa"/>
            <w:vAlign w:val="center"/>
          </w:tcPr>
          <w:p w14:paraId="6ECCC744" w14:textId="77777777" w:rsidR="00D315F1" w:rsidRDefault="00000000">
            <w:pPr>
              <w:pStyle w:val="TableContents"/>
            </w:pPr>
            <w:r>
              <w:t>Any wording suggesting the disclosing party guarantees accuracy or completeness of shared diligence information.</w:t>
            </w:r>
          </w:p>
        </w:tc>
      </w:tr>
      <w:tr w:rsidR="00D315F1" w14:paraId="3DD6C9A7" w14:textId="77777777">
        <w:tc>
          <w:tcPr>
            <w:tcW w:w="1713" w:type="dxa"/>
            <w:vAlign w:val="center"/>
          </w:tcPr>
          <w:p w14:paraId="08ABF943" w14:textId="77777777" w:rsidR="00D315F1" w:rsidRDefault="00000000">
            <w:pPr>
              <w:pStyle w:val="TableContents"/>
            </w:pPr>
            <w:r>
              <w:t>Remedies</w:t>
            </w:r>
          </w:p>
        </w:tc>
        <w:tc>
          <w:tcPr>
            <w:tcW w:w="2480" w:type="dxa"/>
            <w:vAlign w:val="center"/>
          </w:tcPr>
          <w:p w14:paraId="48862D32" w14:textId="77777777" w:rsidR="00D315F1" w:rsidRDefault="00000000">
            <w:pPr>
              <w:pStyle w:val="TableContents"/>
            </w:pPr>
            <w:r>
              <w:t>The NDA should expressly preserve the right to seek injunctive, equitable, or specific relief in addition to other rights and remedies available at law or in equity.</w:t>
            </w:r>
          </w:p>
        </w:tc>
        <w:tc>
          <w:tcPr>
            <w:tcW w:w="1994" w:type="dxa"/>
            <w:vAlign w:val="center"/>
          </w:tcPr>
          <w:p w14:paraId="5E80B74C" w14:textId="77777777" w:rsidR="00D315F1" w:rsidRDefault="00000000">
            <w:pPr>
              <w:pStyle w:val="TableContents"/>
            </w:pPr>
            <w:r>
              <w:t>Confidentiality breaches can be difficult to remedy through damages alone.</w:t>
            </w:r>
          </w:p>
        </w:tc>
        <w:tc>
          <w:tcPr>
            <w:tcW w:w="2245" w:type="dxa"/>
            <w:vAlign w:val="center"/>
          </w:tcPr>
          <w:p w14:paraId="0B04BA2D" w14:textId="77777777" w:rsidR="00D315F1" w:rsidRDefault="00000000">
            <w:pPr>
              <w:pStyle w:val="TableContents"/>
            </w:pPr>
            <w:r>
              <w:t>Injunctive relief language without prejudice to other remedies.</w:t>
            </w:r>
          </w:p>
        </w:tc>
        <w:tc>
          <w:tcPr>
            <w:tcW w:w="3074" w:type="dxa"/>
            <w:vAlign w:val="center"/>
          </w:tcPr>
          <w:p w14:paraId="4F670279" w14:textId="77777777" w:rsidR="00D315F1" w:rsidRDefault="00000000">
            <w:pPr>
              <w:pStyle w:val="TableContents"/>
            </w:pPr>
            <w:r>
              <w:t>Wording that suggests equitable relief is the sole remedy or omits it entirely.</w:t>
            </w:r>
          </w:p>
        </w:tc>
      </w:tr>
      <w:tr w:rsidR="00D315F1" w14:paraId="14F7721A" w14:textId="77777777">
        <w:tc>
          <w:tcPr>
            <w:tcW w:w="1713" w:type="dxa"/>
            <w:vAlign w:val="center"/>
          </w:tcPr>
          <w:p w14:paraId="7402E282" w14:textId="77777777" w:rsidR="00D315F1" w:rsidRDefault="00000000">
            <w:pPr>
              <w:pStyle w:val="TableContents"/>
            </w:pPr>
            <w:r>
              <w:t>Governing Law and Jurisdiction</w:t>
            </w:r>
          </w:p>
        </w:tc>
        <w:tc>
          <w:tcPr>
            <w:tcW w:w="2480" w:type="dxa"/>
            <w:vAlign w:val="center"/>
          </w:tcPr>
          <w:p w14:paraId="2DB88313" w14:textId="77777777" w:rsidR="00D315F1" w:rsidRDefault="00000000">
            <w:pPr>
              <w:pStyle w:val="TableContents"/>
            </w:pPr>
            <w:r>
              <w:t>Governing law and dispute forum should align. Preferred position: England and Wales law with exclusive jurisdiction of the courts of England and Wales.</w:t>
            </w:r>
          </w:p>
        </w:tc>
        <w:tc>
          <w:tcPr>
            <w:tcW w:w="1994" w:type="dxa"/>
            <w:vAlign w:val="center"/>
          </w:tcPr>
          <w:p w14:paraId="1A892E52" w14:textId="77777777" w:rsidR="00D315F1" w:rsidRDefault="00000000">
            <w:pPr>
              <w:pStyle w:val="TableContents"/>
            </w:pPr>
            <w:r>
              <w:t>Alignment reduces ambiguity and procedural complexity.</w:t>
            </w:r>
          </w:p>
        </w:tc>
        <w:tc>
          <w:tcPr>
            <w:tcW w:w="2245" w:type="dxa"/>
            <w:vAlign w:val="center"/>
          </w:tcPr>
          <w:p w14:paraId="1BC2BF08" w14:textId="77777777" w:rsidR="00D315F1" w:rsidRDefault="00000000">
            <w:pPr>
              <w:pStyle w:val="TableContents"/>
            </w:pPr>
            <w:r>
              <w:t>Non-exclusive jurisdiction of the courts of England and Wales if enforcement flexibility is needed.</w:t>
            </w:r>
          </w:p>
        </w:tc>
        <w:tc>
          <w:tcPr>
            <w:tcW w:w="3074" w:type="dxa"/>
            <w:vAlign w:val="center"/>
          </w:tcPr>
          <w:p w14:paraId="19275513" w14:textId="77777777" w:rsidR="00D315F1" w:rsidRDefault="00000000">
            <w:pPr>
              <w:pStyle w:val="TableContents"/>
            </w:pPr>
            <w:r>
              <w:t>Mismatched law and forum, or unfamiliar / counterparty-favourable forum without clear business justification.</w:t>
            </w:r>
          </w:p>
        </w:tc>
      </w:tr>
      <w:tr w:rsidR="00D315F1" w14:paraId="2A5BD073" w14:textId="77777777">
        <w:tc>
          <w:tcPr>
            <w:tcW w:w="1713" w:type="dxa"/>
            <w:vAlign w:val="center"/>
          </w:tcPr>
          <w:p w14:paraId="73E10BC2" w14:textId="77777777" w:rsidR="00D315F1" w:rsidRDefault="00000000">
            <w:pPr>
              <w:pStyle w:val="TableContents"/>
            </w:pPr>
            <w:r>
              <w:lastRenderedPageBreak/>
              <w:t>Entire Agreement</w:t>
            </w:r>
          </w:p>
        </w:tc>
        <w:tc>
          <w:tcPr>
            <w:tcW w:w="2480" w:type="dxa"/>
            <w:vAlign w:val="center"/>
          </w:tcPr>
          <w:p w14:paraId="1B8D1A26" w14:textId="77777777" w:rsidR="00D315F1" w:rsidRDefault="00000000">
            <w:pPr>
              <w:pStyle w:val="TableContents"/>
            </w:pPr>
            <w:r>
              <w:t>Include a standard entire agreement clause for the NDA's subject matter, preserving liability for fraud and avoiding exclusion of rights that cannot legally be excluded.</w:t>
            </w:r>
          </w:p>
        </w:tc>
        <w:tc>
          <w:tcPr>
            <w:tcW w:w="1994" w:type="dxa"/>
            <w:vAlign w:val="center"/>
          </w:tcPr>
          <w:p w14:paraId="0F30E346" w14:textId="77777777" w:rsidR="00D315F1" w:rsidRDefault="00000000">
            <w:pPr>
              <w:pStyle w:val="TableContents"/>
            </w:pPr>
            <w:r>
              <w:t>Prevents side discussions from becoming contractual while avoiding overreach.</w:t>
            </w:r>
          </w:p>
        </w:tc>
        <w:tc>
          <w:tcPr>
            <w:tcW w:w="2245" w:type="dxa"/>
            <w:vAlign w:val="center"/>
          </w:tcPr>
          <w:p w14:paraId="618BA222" w14:textId="77777777" w:rsidR="00D315F1" w:rsidRDefault="00000000">
            <w:pPr>
              <w:pStyle w:val="TableContents"/>
            </w:pPr>
            <w:r>
              <w:t>Streamlined entire agreement wording with fraud carve-out.</w:t>
            </w:r>
          </w:p>
        </w:tc>
        <w:tc>
          <w:tcPr>
            <w:tcW w:w="3074" w:type="dxa"/>
            <w:vAlign w:val="center"/>
          </w:tcPr>
          <w:p w14:paraId="44D7EAE9" w14:textId="77777777" w:rsidR="00D315F1" w:rsidRDefault="00000000">
            <w:pPr>
              <w:pStyle w:val="TableContents"/>
            </w:pPr>
            <w:r>
              <w:t>Over-aggressive non-reliance or exclusion language not justified by the transaction.</w:t>
            </w:r>
          </w:p>
        </w:tc>
      </w:tr>
      <w:tr w:rsidR="00D315F1" w14:paraId="4041FEE6" w14:textId="77777777">
        <w:tc>
          <w:tcPr>
            <w:tcW w:w="1713" w:type="dxa"/>
            <w:vAlign w:val="center"/>
          </w:tcPr>
          <w:p w14:paraId="1F58A385" w14:textId="77777777" w:rsidR="00D315F1" w:rsidRDefault="00000000">
            <w:pPr>
              <w:pStyle w:val="TableContents"/>
            </w:pPr>
            <w:r>
              <w:t>Assignment</w:t>
            </w:r>
          </w:p>
        </w:tc>
        <w:tc>
          <w:tcPr>
            <w:tcW w:w="2480" w:type="dxa"/>
            <w:vAlign w:val="center"/>
          </w:tcPr>
          <w:p w14:paraId="2685F3B1" w14:textId="77777777" w:rsidR="00D315F1" w:rsidRDefault="00000000">
            <w:pPr>
              <w:pStyle w:val="TableContents"/>
            </w:pPr>
            <w:r>
              <w:t>No assignment without prior written consent, except that a party may assign to an affiliate or in connection with a merger, reorganization, or sale of substantially all relevant business or assets.</w:t>
            </w:r>
          </w:p>
        </w:tc>
        <w:tc>
          <w:tcPr>
            <w:tcW w:w="1994" w:type="dxa"/>
            <w:vAlign w:val="center"/>
          </w:tcPr>
          <w:p w14:paraId="7BE2A6FD" w14:textId="77777777" w:rsidR="00D315F1" w:rsidRDefault="00000000">
            <w:pPr>
              <w:pStyle w:val="TableContents"/>
            </w:pPr>
            <w:r>
              <w:t>Preserves control while allowing sensible corporate flexibility.</w:t>
            </w:r>
          </w:p>
        </w:tc>
        <w:tc>
          <w:tcPr>
            <w:tcW w:w="2245" w:type="dxa"/>
            <w:vAlign w:val="center"/>
          </w:tcPr>
          <w:p w14:paraId="412D2202" w14:textId="77777777" w:rsidR="00D315F1" w:rsidRDefault="00000000">
            <w:pPr>
              <w:pStyle w:val="TableContents"/>
            </w:pPr>
            <w:r>
              <w:t>Affiliate-only assignment right on written notice.</w:t>
            </w:r>
          </w:p>
        </w:tc>
        <w:tc>
          <w:tcPr>
            <w:tcW w:w="3074" w:type="dxa"/>
            <w:vAlign w:val="center"/>
          </w:tcPr>
          <w:p w14:paraId="7B7E885B" w14:textId="77777777" w:rsidR="00D315F1" w:rsidRDefault="00000000">
            <w:pPr>
              <w:pStyle w:val="TableContents"/>
            </w:pPr>
            <w:r>
              <w:t>Absolute prohibition on assignment where group reorganizations or transactions are foreseeable, or unrestricted assignment by the counterparty.</w:t>
            </w:r>
          </w:p>
        </w:tc>
      </w:tr>
      <w:tr w:rsidR="00D315F1" w14:paraId="04DBB84F" w14:textId="77777777">
        <w:tc>
          <w:tcPr>
            <w:tcW w:w="1713" w:type="dxa"/>
            <w:vAlign w:val="center"/>
          </w:tcPr>
          <w:p w14:paraId="3EDC905A" w14:textId="77777777" w:rsidR="00D315F1" w:rsidRDefault="00000000">
            <w:pPr>
              <w:pStyle w:val="TableContents"/>
            </w:pPr>
            <w:r>
              <w:t>Notices</w:t>
            </w:r>
          </w:p>
        </w:tc>
        <w:tc>
          <w:tcPr>
            <w:tcW w:w="2480" w:type="dxa"/>
            <w:vAlign w:val="center"/>
          </w:tcPr>
          <w:p w14:paraId="2E9A9B85" w14:textId="77777777" w:rsidR="00D315F1" w:rsidRDefault="00000000">
            <w:pPr>
              <w:pStyle w:val="TableContents"/>
            </w:pPr>
            <w:r>
              <w:t>Include notice mechanics specifying delivery methods, addresses, and deemed receipt timing.</w:t>
            </w:r>
          </w:p>
        </w:tc>
        <w:tc>
          <w:tcPr>
            <w:tcW w:w="1994" w:type="dxa"/>
            <w:vAlign w:val="center"/>
          </w:tcPr>
          <w:p w14:paraId="7C4D1A73" w14:textId="77777777" w:rsidR="00D315F1" w:rsidRDefault="00000000">
            <w:pPr>
              <w:pStyle w:val="TableContents"/>
            </w:pPr>
            <w:r>
              <w:t>Provides clarity for termination, legal notices, and operational communications.</w:t>
            </w:r>
          </w:p>
        </w:tc>
        <w:tc>
          <w:tcPr>
            <w:tcW w:w="2245" w:type="dxa"/>
            <w:vAlign w:val="center"/>
          </w:tcPr>
          <w:p w14:paraId="34FCA584" w14:textId="77777777" w:rsidR="00D315F1" w:rsidRDefault="00000000">
            <w:pPr>
              <w:pStyle w:val="TableContents"/>
            </w:pPr>
            <w:r>
              <w:t>Email notice for operational matters, with legal notices by email and courier.</w:t>
            </w:r>
          </w:p>
        </w:tc>
        <w:tc>
          <w:tcPr>
            <w:tcW w:w="3074" w:type="dxa"/>
            <w:vAlign w:val="center"/>
          </w:tcPr>
          <w:p w14:paraId="5B667678" w14:textId="77777777" w:rsidR="00D315F1" w:rsidRDefault="00000000">
            <w:pPr>
              <w:pStyle w:val="TableContents"/>
            </w:pPr>
            <w:r>
              <w:t>No notice clause where formal notices are expected to matter.</w:t>
            </w:r>
          </w:p>
        </w:tc>
      </w:tr>
      <w:tr w:rsidR="00D315F1" w14:paraId="14019398" w14:textId="77777777">
        <w:tc>
          <w:tcPr>
            <w:tcW w:w="1713" w:type="dxa"/>
            <w:vAlign w:val="center"/>
          </w:tcPr>
          <w:p w14:paraId="7C3A5296" w14:textId="77777777" w:rsidR="00D315F1" w:rsidRDefault="00000000">
            <w:pPr>
              <w:pStyle w:val="TableContents"/>
            </w:pPr>
            <w:r>
              <w:t>Waiver and Remedies</w:t>
            </w:r>
          </w:p>
        </w:tc>
        <w:tc>
          <w:tcPr>
            <w:tcW w:w="2480" w:type="dxa"/>
            <w:vAlign w:val="center"/>
          </w:tcPr>
          <w:p w14:paraId="647F44EB" w14:textId="77777777" w:rsidR="00D315F1" w:rsidRDefault="00000000">
            <w:pPr>
              <w:pStyle w:val="TableContents"/>
            </w:pPr>
            <w:r>
              <w:t>Waiver should be effective only if in writing, and remedies should be cumulative.</w:t>
            </w:r>
          </w:p>
        </w:tc>
        <w:tc>
          <w:tcPr>
            <w:tcW w:w="1994" w:type="dxa"/>
            <w:vAlign w:val="center"/>
          </w:tcPr>
          <w:p w14:paraId="0183D1F4" w14:textId="77777777" w:rsidR="00D315F1" w:rsidRDefault="00000000">
            <w:pPr>
              <w:pStyle w:val="TableContents"/>
            </w:pPr>
            <w:r>
              <w:t>Avoids accidental waiver arguments.</w:t>
            </w:r>
          </w:p>
        </w:tc>
        <w:tc>
          <w:tcPr>
            <w:tcW w:w="2245" w:type="dxa"/>
            <w:vAlign w:val="center"/>
          </w:tcPr>
          <w:p w14:paraId="391A244E" w14:textId="77777777" w:rsidR="00D315F1" w:rsidRDefault="00000000">
            <w:pPr>
              <w:pStyle w:val="TableContents"/>
            </w:pPr>
            <w:r>
              <w:t>Short-form waiver clause.</w:t>
            </w:r>
          </w:p>
        </w:tc>
        <w:tc>
          <w:tcPr>
            <w:tcW w:w="3074" w:type="dxa"/>
            <w:vAlign w:val="center"/>
          </w:tcPr>
          <w:p w14:paraId="3AEF93B0" w14:textId="77777777" w:rsidR="00D315F1" w:rsidRDefault="00000000">
            <w:pPr>
              <w:pStyle w:val="TableContents"/>
            </w:pPr>
            <w:r>
              <w:t>Silence on waiver, especially in longer-form NDAs.</w:t>
            </w:r>
          </w:p>
        </w:tc>
      </w:tr>
      <w:tr w:rsidR="00D315F1" w14:paraId="6FBC507E" w14:textId="77777777">
        <w:tc>
          <w:tcPr>
            <w:tcW w:w="1713" w:type="dxa"/>
            <w:vAlign w:val="center"/>
          </w:tcPr>
          <w:p w14:paraId="1B87DABB" w14:textId="77777777" w:rsidR="00D315F1" w:rsidRDefault="00000000">
            <w:pPr>
              <w:pStyle w:val="TableContents"/>
            </w:pPr>
            <w:r>
              <w:t>Severability</w:t>
            </w:r>
          </w:p>
        </w:tc>
        <w:tc>
          <w:tcPr>
            <w:tcW w:w="2480" w:type="dxa"/>
            <w:vAlign w:val="center"/>
          </w:tcPr>
          <w:p w14:paraId="45DEE75D" w14:textId="77777777" w:rsidR="00D315F1" w:rsidRDefault="00000000">
            <w:pPr>
              <w:pStyle w:val="TableContents"/>
            </w:pPr>
            <w:r>
              <w:t>Invalid provisions should be severed or modified to the minimum extent necessary without affecting the rest of the agreement.</w:t>
            </w:r>
          </w:p>
        </w:tc>
        <w:tc>
          <w:tcPr>
            <w:tcW w:w="1994" w:type="dxa"/>
            <w:vAlign w:val="center"/>
          </w:tcPr>
          <w:p w14:paraId="135EB3CE" w14:textId="77777777" w:rsidR="00D315F1" w:rsidRDefault="00000000">
            <w:pPr>
              <w:pStyle w:val="TableContents"/>
            </w:pPr>
            <w:r>
              <w:t>Preserves enforceability if one provision fails.</w:t>
            </w:r>
          </w:p>
        </w:tc>
        <w:tc>
          <w:tcPr>
            <w:tcW w:w="2245" w:type="dxa"/>
            <w:vAlign w:val="center"/>
          </w:tcPr>
          <w:p w14:paraId="33249138" w14:textId="77777777" w:rsidR="00D315F1" w:rsidRDefault="00000000">
            <w:pPr>
              <w:pStyle w:val="TableContents"/>
            </w:pPr>
            <w:r>
              <w:t>Standard severability wording.</w:t>
            </w:r>
          </w:p>
        </w:tc>
        <w:tc>
          <w:tcPr>
            <w:tcW w:w="3074" w:type="dxa"/>
            <w:vAlign w:val="center"/>
          </w:tcPr>
          <w:p w14:paraId="1CE3F1B4" w14:textId="77777777" w:rsidR="00D315F1" w:rsidRDefault="00000000">
            <w:pPr>
              <w:pStyle w:val="TableContents"/>
            </w:pPr>
            <w:r>
              <w:t>No severability clause in a detailed form agreement.</w:t>
            </w:r>
          </w:p>
        </w:tc>
      </w:tr>
      <w:tr w:rsidR="00D315F1" w14:paraId="2F09BD93" w14:textId="77777777">
        <w:tc>
          <w:tcPr>
            <w:tcW w:w="1713" w:type="dxa"/>
            <w:vAlign w:val="center"/>
          </w:tcPr>
          <w:p w14:paraId="2668E444" w14:textId="77777777" w:rsidR="00D315F1" w:rsidRDefault="00000000">
            <w:pPr>
              <w:pStyle w:val="TableContents"/>
            </w:pPr>
            <w:r>
              <w:t>Amendments</w:t>
            </w:r>
          </w:p>
        </w:tc>
        <w:tc>
          <w:tcPr>
            <w:tcW w:w="2480" w:type="dxa"/>
            <w:vAlign w:val="center"/>
          </w:tcPr>
          <w:p w14:paraId="2109CD29" w14:textId="77777777" w:rsidR="00D315F1" w:rsidRDefault="00000000">
            <w:pPr>
              <w:pStyle w:val="TableContents"/>
            </w:pPr>
            <w:r>
              <w:t>Amendments must be in writing and signed by both parties.</w:t>
            </w:r>
          </w:p>
        </w:tc>
        <w:tc>
          <w:tcPr>
            <w:tcW w:w="1994" w:type="dxa"/>
            <w:vAlign w:val="center"/>
          </w:tcPr>
          <w:p w14:paraId="10106A2D" w14:textId="77777777" w:rsidR="00D315F1" w:rsidRDefault="00000000">
            <w:pPr>
              <w:pStyle w:val="TableContents"/>
            </w:pPr>
            <w:r>
              <w:t>Avoids disputes over informal modifications.</w:t>
            </w:r>
          </w:p>
        </w:tc>
        <w:tc>
          <w:tcPr>
            <w:tcW w:w="2245" w:type="dxa"/>
            <w:vAlign w:val="center"/>
          </w:tcPr>
          <w:p w14:paraId="60C5F060" w14:textId="77777777" w:rsidR="00D315F1" w:rsidRDefault="00000000">
            <w:pPr>
              <w:pStyle w:val="TableContents"/>
            </w:pPr>
            <w:r>
              <w:t>Electronic signature accepted.</w:t>
            </w:r>
          </w:p>
        </w:tc>
        <w:tc>
          <w:tcPr>
            <w:tcW w:w="3074" w:type="dxa"/>
            <w:vAlign w:val="center"/>
          </w:tcPr>
          <w:p w14:paraId="24A37D46" w14:textId="77777777" w:rsidR="00D315F1" w:rsidRDefault="00000000">
            <w:pPr>
              <w:pStyle w:val="TableContents"/>
            </w:pPr>
            <w:r>
              <w:t>Oral amendment rights or ambiguous amendment language.</w:t>
            </w:r>
          </w:p>
        </w:tc>
      </w:tr>
      <w:tr w:rsidR="00D315F1" w14:paraId="40ECD96C" w14:textId="77777777">
        <w:tc>
          <w:tcPr>
            <w:tcW w:w="1713" w:type="dxa"/>
            <w:vAlign w:val="center"/>
          </w:tcPr>
          <w:p w14:paraId="23BA6D65" w14:textId="77777777" w:rsidR="00D315F1" w:rsidRDefault="00000000">
            <w:pPr>
              <w:pStyle w:val="TableContents"/>
            </w:pPr>
            <w:r>
              <w:t>Third-Party Rights</w:t>
            </w:r>
          </w:p>
        </w:tc>
        <w:tc>
          <w:tcPr>
            <w:tcW w:w="2480" w:type="dxa"/>
            <w:vAlign w:val="center"/>
          </w:tcPr>
          <w:p w14:paraId="42038FFC" w14:textId="77777777" w:rsidR="00D315F1" w:rsidRDefault="00000000">
            <w:pPr>
              <w:pStyle w:val="TableContents"/>
            </w:pPr>
            <w:r>
              <w:t>Exclude third-party enforcement rights unless rights for affiliates or representatives are intentionally granted.</w:t>
            </w:r>
          </w:p>
        </w:tc>
        <w:tc>
          <w:tcPr>
            <w:tcW w:w="1994" w:type="dxa"/>
            <w:vAlign w:val="center"/>
          </w:tcPr>
          <w:p w14:paraId="1DB79DA7" w14:textId="77777777" w:rsidR="00D315F1" w:rsidRDefault="00000000">
            <w:pPr>
              <w:pStyle w:val="TableContents"/>
            </w:pPr>
            <w:r>
              <w:t>Prevents unintended third-party claims.</w:t>
            </w:r>
          </w:p>
        </w:tc>
        <w:tc>
          <w:tcPr>
            <w:tcW w:w="2245" w:type="dxa"/>
            <w:vAlign w:val="center"/>
          </w:tcPr>
          <w:p w14:paraId="2827C0BF" w14:textId="77777777" w:rsidR="00D315F1" w:rsidRDefault="00000000">
            <w:pPr>
              <w:pStyle w:val="TableContents"/>
            </w:pPr>
            <w:r>
              <w:t>Express exclusion under applicable contracts legislation.</w:t>
            </w:r>
          </w:p>
        </w:tc>
        <w:tc>
          <w:tcPr>
            <w:tcW w:w="3074" w:type="dxa"/>
            <w:vAlign w:val="center"/>
          </w:tcPr>
          <w:p w14:paraId="181A3841" w14:textId="77777777" w:rsidR="00D315F1" w:rsidRDefault="00000000">
            <w:pPr>
              <w:pStyle w:val="TableContents"/>
            </w:pPr>
            <w:r>
              <w:t>Silence in jurisdictions where third-party rights may arise by statute.</w:t>
            </w:r>
          </w:p>
        </w:tc>
      </w:tr>
      <w:tr w:rsidR="00D315F1" w14:paraId="06667577" w14:textId="77777777">
        <w:tc>
          <w:tcPr>
            <w:tcW w:w="1713" w:type="dxa"/>
            <w:vAlign w:val="center"/>
          </w:tcPr>
          <w:p w14:paraId="595DECD5" w14:textId="77777777" w:rsidR="00D315F1" w:rsidRDefault="00000000">
            <w:pPr>
              <w:pStyle w:val="TableContents"/>
            </w:pPr>
            <w:r>
              <w:lastRenderedPageBreak/>
              <w:t>Counterparts / Electronic Signatures</w:t>
            </w:r>
          </w:p>
        </w:tc>
        <w:tc>
          <w:tcPr>
            <w:tcW w:w="2480" w:type="dxa"/>
            <w:vAlign w:val="center"/>
          </w:tcPr>
          <w:p w14:paraId="0353971A" w14:textId="77777777" w:rsidR="00D315F1" w:rsidRDefault="00000000">
            <w:pPr>
              <w:pStyle w:val="TableContents"/>
            </w:pPr>
            <w:r>
              <w:t>Permit execution in counterparts and by electronic signature.</w:t>
            </w:r>
          </w:p>
        </w:tc>
        <w:tc>
          <w:tcPr>
            <w:tcW w:w="1994" w:type="dxa"/>
            <w:vAlign w:val="center"/>
          </w:tcPr>
          <w:p w14:paraId="38D86D41" w14:textId="77777777" w:rsidR="00D315F1" w:rsidRDefault="00000000">
            <w:pPr>
              <w:pStyle w:val="TableContents"/>
            </w:pPr>
            <w:r>
              <w:t>Facilitates practical execution.</w:t>
            </w:r>
          </w:p>
        </w:tc>
        <w:tc>
          <w:tcPr>
            <w:tcW w:w="2245" w:type="dxa"/>
            <w:vAlign w:val="center"/>
          </w:tcPr>
          <w:p w14:paraId="61E421EB" w14:textId="77777777" w:rsidR="00D315F1" w:rsidRDefault="00000000">
            <w:pPr>
              <w:pStyle w:val="TableContents"/>
            </w:pPr>
            <w:r>
              <w:t>Counterparts only.</w:t>
            </w:r>
          </w:p>
        </w:tc>
        <w:tc>
          <w:tcPr>
            <w:tcW w:w="3074" w:type="dxa"/>
            <w:vAlign w:val="center"/>
          </w:tcPr>
          <w:p w14:paraId="07F613E9" w14:textId="77777777" w:rsidR="00D315F1" w:rsidRDefault="00000000">
            <w:pPr>
              <w:pStyle w:val="TableContents"/>
            </w:pPr>
            <w:r>
              <w:t>No flexibility for remote execution.</w:t>
            </w:r>
          </w:p>
        </w:tc>
      </w:tr>
      <w:tr w:rsidR="00D315F1" w14:paraId="676FC1E1" w14:textId="77777777">
        <w:tc>
          <w:tcPr>
            <w:tcW w:w="1713" w:type="dxa"/>
            <w:vAlign w:val="center"/>
          </w:tcPr>
          <w:p w14:paraId="23B502F7" w14:textId="77777777" w:rsidR="00D315F1" w:rsidRDefault="00000000">
            <w:pPr>
              <w:pStyle w:val="TableContents"/>
            </w:pPr>
            <w:r>
              <w:t>Signature Blocks</w:t>
            </w:r>
          </w:p>
        </w:tc>
        <w:tc>
          <w:tcPr>
            <w:tcW w:w="2480" w:type="dxa"/>
            <w:vAlign w:val="center"/>
          </w:tcPr>
          <w:p w14:paraId="723F8210" w14:textId="77777777" w:rsidR="00D315F1" w:rsidRDefault="00000000">
            <w:pPr>
              <w:pStyle w:val="TableContents"/>
            </w:pPr>
            <w:r>
              <w:t>Include complete signature blocks with name, title, date, and signature for each party.</w:t>
            </w:r>
          </w:p>
        </w:tc>
        <w:tc>
          <w:tcPr>
            <w:tcW w:w="1994" w:type="dxa"/>
            <w:vAlign w:val="center"/>
          </w:tcPr>
          <w:p w14:paraId="096D92D5" w14:textId="77777777" w:rsidR="00D315F1" w:rsidRDefault="00000000">
            <w:pPr>
              <w:pStyle w:val="TableContents"/>
            </w:pPr>
            <w:r>
              <w:t>Ensures clean execution and evidentiary clarity.</w:t>
            </w:r>
          </w:p>
        </w:tc>
        <w:tc>
          <w:tcPr>
            <w:tcW w:w="2245" w:type="dxa"/>
            <w:vAlign w:val="center"/>
          </w:tcPr>
          <w:p w14:paraId="4BA6A1F6" w14:textId="77777777" w:rsidR="00D315F1" w:rsidRDefault="00000000">
            <w:pPr>
              <w:pStyle w:val="TableContents"/>
            </w:pPr>
            <w:r>
              <w:t>Standard corporate execution blocks.</w:t>
            </w:r>
          </w:p>
        </w:tc>
        <w:tc>
          <w:tcPr>
            <w:tcW w:w="3074" w:type="dxa"/>
            <w:vAlign w:val="center"/>
          </w:tcPr>
          <w:p w14:paraId="52A03721" w14:textId="77777777" w:rsidR="00D315F1" w:rsidRDefault="00000000">
            <w:pPr>
              <w:pStyle w:val="TableContents"/>
            </w:pPr>
            <w:r>
              <w:t>Incomplete signature blocks or missing authority information.</w:t>
            </w:r>
          </w:p>
        </w:tc>
      </w:tr>
      <w:tr w:rsidR="00D315F1" w14:paraId="181428C2" w14:textId="77777777">
        <w:tc>
          <w:tcPr>
            <w:tcW w:w="1713" w:type="dxa"/>
            <w:vAlign w:val="center"/>
          </w:tcPr>
          <w:p w14:paraId="456DCD39" w14:textId="77777777" w:rsidR="00D315F1" w:rsidRDefault="00000000">
            <w:pPr>
              <w:pStyle w:val="TableContents"/>
            </w:pPr>
            <w:r>
              <w:t>Retroactive Coverage</w:t>
            </w:r>
          </w:p>
        </w:tc>
        <w:tc>
          <w:tcPr>
            <w:tcW w:w="2480" w:type="dxa"/>
            <w:vAlign w:val="center"/>
          </w:tcPr>
          <w:p w14:paraId="2066E08C" w14:textId="77777777" w:rsidR="00D315F1" w:rsidRDefault="00000000">
            <w:pPr>
              <w:pStyle w:val="TableContents"/>
            </w:pPr>
            <w:r>
              <w:t>If pre-signing disclosures are to be protected, say so expressly and ensure they are sufficiently identifiable.</w:t>
            </w:r>
          </w:p>
        </w:tc>
        <w:tc>
          <w:tcPr>
            <w:tcW w:w="1994" w:type="dxa"/>
            <w:vAlign w:val="center"/>
          </w:tcPr>
          <w:p w14:paraId="25C1105C" w14:textId="77777777" w:rsidR="00D315F1" w:rsidRDefault="00000000">
            <w:pPr>
              <w:pStyle w:val="TableContents"/>
            </w:pPr>
            <w:r>
              <w:t>Avoids disputes over whether earlier disclosures are covered.</w:t>
            </w:r>
          </w:p>
        </w:tc>
        <w:tc>
          <w:tcPr>
            <w:tcW w:w="2245" w:type="dxa"/>
            <w:vAlign w:val="center"/>
          </w:tcPr>
          <w:p w14:paraId="7A9D676B" w14:textId="77777777" w:rsidR="00D315F1" w:rsidRDefault="00000000">
            <w:pPr>
              <w:pStyle w:val="TableContents"/>
            </w:pPr>
            <w:r>
              <w:t>Cover disclosures made within a defined period before signature.</w:t>
            </w:r>
          </w:p>
        </w:tc>
        <w:tc>
          <w:tcPr>
            <w:tcW w:w="3074" w:type="dxa"/>
            <w:vAlign w:val="center"/>
          </w:tcPr>
          <w:p w14:paraId="03957773" w14:textId="77777777" w:rsidR="00D315F1" w:rsidRDefault="00000000">
            <w:pPr>
              <w:pStyle w:val="TableContents"/>
            </w:pPr>
            <w:r>
              <w:t>Silent or ambiguous retroactive coverage language.</w:t>
            </w:r>
          </w:p>
        </w:tc>
      </w:tr>
      <w:tr w:rsidR="00D315F1" w14:paraId="0A45F582" w14:textId="77777777">
        <w:tc>
          <w:tcPr>
            <w:tcW w:w="1713" w:type="dxa"/>
            <w:vAlign w:val="center"/>
          </w:tcPr>
          <w:p w14:paraId="586C53DF" w14:textId="77777777" w:rsidR="00D315F1" w:rsidRDefault="00000000">
            <w:pPr>
              <w:pStyle w:val="TableContents"/>
            </w:pPr>
            <w:r>
              <w:t>Mutual vs One-Way Structure</w:t>
            </w:r>
          </w:p>
        </w:tc>
        <w:tc>
          <w:tcPr>
            <w:tcW w:w="2480" w:type="dxa"/>
            <w:vAlign w:val="center"/>
          </w:tcPr>
          <w:p w14:paraId="4EDA7118" w14:textId="77777777" w:rsidR="00D315F1" w:rsidRDefault="00000000">
            <w:pPr>
              <w:pStyle w:val="TableContents"/>
            </w:pPr>
            <w:r>
              <w:t>Use a mutual NDA only where both parties are expected to disclose meaningful confidential information. Even in a mutual form, preserve stronger protections if one party is the main discloser.</w:t>
            </w:r>
          </w:p>
        </w:tc>
        <w:tc>
          <w:tcPr>
            <w:tcW w:w="1994" w:type="dxa"/>
            <w:vAlign w:val="center"/>
          </w:tcPr>
          <w:p w14:paraId="2D3192D1" w14:textId="77777777" w:rsidR="00D315F1" w:rsidRDefault="00000000">
            <w:pPr>
              <w:pStyle w:val="TableContents"/>
            </w:pPr>
            <w:r>
              <w:t>Formal mutuality should not dilute practical protection where risk is asymmetrical.</w:t>
            </w:r>
          </w:p>
        </w:tc>
        <w:tc>
          <w:tcPr>
            <w:tcW w:w="2245" w:type="dxa"/>
            <w:vAlign w:val="center"/>
          </w:tcPr>
          <w:p w14:paraId="61DA2162" w14:textId="77777777" w:rsidR="00D315F1" w:rsidRDefault="00000000">
            <w:pPr>
              <w:pStyle w:val="TableContents"/>
            </w:pPr>
            <w:r>
              <w:t>Mutual form with enhanced trade secret, IP, and representative protections.</w:t>
            </w:r>
          </w:p>
        </w:tc>
        <w:tc>
          <w:tcPr>
            <w:tcW w:w="3074" w:type="dxa"/>
            <w:vAlign w:val="center"/>
          </w:tcPr>
          <w:p w14:paraId="083F950E" w14:textId="77777777" w:rsidR="00D315F1" w:rsidRDefault="00000000">
            <w:pPr>
              <w:pStyle w:val="TableContents"/>
            </w:pPr>
            <w:r>
              <w:t>Fully symmetrical terms where commercial reality is materially one-sided and the main discloser needs stronger protection.</w:t>
            </w:r>
          </w:p>
        </w:tc>
      </w:tr>
    </w:tbl>
    <w:p w14:paraId="38E83147" w14:textId="77777777" w:rsidR="00D315F1" w:rsidRDefault="00000000">
      <w:pPr>
        <w:pStyle w:val="Heading3"/>
      </w:pPr>
      <w:bookmarkStart w:id="4" w:name="4-standard-internal-review-rules"/>
      <w:bookmarkEnd w:id="4"/>
      <w:r>
        <w:t>4. Standard Internal Review Rules</w:t>
      </w:r>
    </w:p>
    <w:p w14:paraId="3EB73B59" w14:textId="77777777" w:rsidR="00D315F1" w:rsidRDefault="00000000">
      <w:pPr>
        <w:pStyle w:val="BodyText"/>
      </w:pPr>
      <w:r>
        <w:t>When reviewing any incoming NDA, the reviewer should confirm the following:</w:t>
      </w:r>
    </w:p>
    <w:p w14:paraId="166C94E9" w14:textId="77777777" w:rsidR="00D315F1" w:rsidRDefault="00000000">
      <w:pPr>
        <w:pStyle w:val="BodyText"/>
        <w:numPr>
          <w:ilvl w:val="0"/>
          <w:numId w:val="2"/>
        </w:numPr>
        <w:tabs>
          <w:tab w:val="left" w:pos="709"/>
        </w:tabs>
        <w:spacing w:after="0"/>
      </w:pPr>
      <w:r>
        <w:t>The purpose is specific and not broader than necessary.</w:t>
      </w:r>
    </w:p>
    <w:p w14:paraId="5E995E5F" w14:textId="77777777" w:rsidR="00D315F1" w:rsidRDefault="00000000">
      <w:pPr>
        <w:pStyle w:val="BodyText"/>
        <w:numPr>
          <w:ilvl w:val="0"/>
          <w:numId w:val="2"/>
        </w:numPr>
        <w:tabs>
          <w:tab w:val="left" w:pos="709"/>
        </w:tabs>
        <w:spacing w:after="0"/>
      </w:pPr>
      <w:r>
        <w:t>Confidential Information is broadly defined but balanced by full exclusions.</w:t>
      </w:r>
    </w:p>
    <w:p w14:paraId="3CC65766" w14:textId="77777777" w:rsidR="00D315F1" w:rsidRDefault="00000000">
      <w:pPr>
        <w:pStyle w:val="BodyText"/>
        <w:numPr>
          <w:ilvl w:val="0"/>
          <w:numId w:val="2"/>
        </w:numPr>
        <w:tabs>
          <w:tab w:val="left" w:pos="709"/>
        </w:tabs>
        <w:spacing w:after="0"/>
      </w:pPr>
      <w:r>
        <w:t>The receiving party may disclose only on a need-to-know basis.</w:t>
      </w:r>
    </w:p>
    <w:p w14:paraId="2013CBAF" w14:textId="77777777" w:rsidR="00D315F1" w:rsidRDefault="00000000">
      <w:pPr>
        <w:pStyle w:val="BodyText"/>
        <w:numPr>
          <w:ilvl w:val="0"/>
          <w:numId w:val="2"/>
        </w:numPr>
        <w:tabs>
          <w:tab w:val="left" w:pos="709"/>
        </w:tabs>
        <w:spacing w:after="0"/>
      </w:pPr>
      <w:r>
        <w:t>Representatives are subject to enforceable confidentiality obligations.</w:t>
      </w:r>
    </w:p>
    <w:p w14:paraId="3279B412" w14:textId="77777777" w:rsidR="00D315F1" w:rsidRDefault="00000000">
      <w:pPr>
        <w:pStyle w:val="BodyText"/>
        <w:numPr>
          <w:ilvl w:val="0"/>
          <w:numId w:val="2"/>
        </w:numPr>
        <w:tabs>
          <w:tab w:val="left" w:pos="709"/>
        </w:tabs>
        <w:spacing w:after="0"/>
      </w:pPr>
      <w:r>
        <w:t>The receiving party is responsible for representative breaches.</w:t>
      </w:r>
    </w:p>
    <w:p w14:paraId="01FDD290" w14:textId="77777777" w:rsidR="00D315F1" w:rsidRDefault="00000000">
      <w:pPr>
        <w:pStyle w:val="BodyText"/>
        <w:numPr>
          <w:ilvl w:val="0"/>
          <w:numId w:val="2"/>
        </w:numPr>
        <w:tabs>
          <w:tab w:val="left" w:pos="709"/>
        </w:tabs>
        <w:spacing w:after="0"/>
      </w:pPr>
      <w:r>
        <w:t>Use restrictions are separate and clearly limited to the permitted purpose.</w:t>
      </w:r>
    </w:p>
    <w:p w14:paraId="01837E63" w14:textId="77777777" w:rsidR="00D315F1" w:rsidRDefault="00000000">
      <w:pPr>
        <w:pStyle w:val="BodyText"/>
        <w:numPr>
          <w:ilvl w:val="0"/>
          <w:numId w:val="2"/>
        </w:numPr>
        <w:tabs>
          <w:tab w:val="left" w:pos="709"/>
        </w:tabs>
        <w:spacing w:after="0"/>
      </w:pPr>
      <w:r>
        <w:t>Trade secrets receive enhanced duration or indefinite protection.</w:t>
      </w:r>
    </w:p>
    <w:p w14:paraId="2C94458E" w14:textId="77777777" w:rsidR="00D315F1" w:rsidRDefault="00000000">
      <w:pPr>
        <w:pStyle w:val="BodyText"/>
        <w:numPr>
          <w:ilvl w:val="0"/>
          <w:numId w:val="2"/>
        </w:numPr>
        <w:tabs>
          <w:tab w:val="left" w:pos="709"/>
        </w:tabs>
        <w:spacing w:after="0"/>
      </w:pPr>
      <w:r>
        <w:t>Return/destruction provisions are practical and include standard retention carve-outs.</w:t>
      </w:r>
    </w:p>
    <w:p w14:paraId="4F3D1BCA" w14:textId="77777777" w:rsidR="00D315F1" w:rsidRDefault="00000000">
      <w:pPr>
        <w:pStyle w:val="BodyText"/>
        <w:numPr>
          <w:ilvl w:val="0"/>
          <w:numId w:val="2"/>
        </w:numPr>
        <w:tabs>
          <w:tab w:val="left" w:pos="709"/>
        </w:tabs>
        <w:spacing w:after="0"/>
      </w:pPr>
      <w:r>
        <w:t>Compelled disclosure wording includes notice and minimum-disclosure safeguards.</w:t>
      </w:r>
    </w:p>
    <w:p w14:paraId="765FFEDA" w14:textId="77777777" w:rsidR="00D315F1" w:rsidRDefault="00000000">
      <w:pPr>
        <w:pStyle w:val="BodyText"/>
        <w:numPr>
          <w:ilvl w:val="0"/>
          <w:numId w:val="2"/>
        </w:numPr>
        <w:tabs>
          <w:tab w:val="left" w:pos="709"/>
        </w:tabs>
        <w:spacing w:after="0"/>
      </w:pPr>
      <w:r>
        <w:t>No licence or transfer of intellectual property is implied.</w:t>
      </w:r>
    </w:p>
    <w:p w14:paraId="5BC0F5AB" w14:textId="77777777" w:rsidR="00D315F1" w:rsidRDefault="00000000">
      <w:pPr>
        <w:pStyle w:val="BodyText"/>
        <w:numPr>
          <w:ilvl w:val="0"/>
          <w:numId w:val="2"/>
        </w:numPr>
        <w:tabs>
          <w:tab w:val="left" w:pos="709"/>
        </w:tabs>
        <w:spacing w:after="0"/>
      </w:pPr>
      <w:r>
        <w:t>Remedies preserve injunctive relief and other available rights.</w:t>
      </w:r>
    </w:p>
    <w:p w14:paraId="149D805C" w14:textId="77777777" w:rsidR="00D315F1" w:rsidRDefault="00000000">
      <w:pPr>
        <w:pStyle w:val="BodyText"/>
        <w:numPr>
          <w:ilvl w:val="0"/>
          <w:numId w:val="2"/>
        </w:numPr>
        <w:tabs>
          <w:tab w:val="left" w:pos="709"/>
        </w:tabs>
        <w:spacing w:after="0"/>
      </w:pPr>
      <w:r>
        <w:t>Governing law and jurisdiction are aligned and commercially acceptable.</w:t>
      </w:r>
    </w:p>
    <w:p w14:paraId="7951F7B9" w14:textId="77777777" w:rsidR="00D315F1" w:rsidRDefault="00000000">
      <w:pPr>
        <w:pStyle w:val="BodyText"/>
        <w:numPr>
          <w:ilvl w:val="0"/>
          <w:numId w:val="2"/>
        </w:numPr>
        <w:tabs>
          <w:tab w:val="left" w:pos="709"/>
        </w:tabs>
        <w:spacing w:after="0"/>
      </w:pPr>
      <w:r>
        <w:t>Boilerplate is complete and internally consistent.</w:t>
      </w:r>
    </w:p>
    <w:p w14:paraId="58997E26" w14:textId="77777777" w:rsidR="00D315F1" w:rsidRDefault="00000000">
      <w:pPr>
        <w:pStyle w:val="BodyText"/>
        <w:numPr>
          <w:ilvl w:val="0"/>
          <w:numId w:val="2"/>
        </w:numPr>
        <w:tabs>
          <w:tab w:val="left" w:pos="709"/>
        </w:tabs>
        <w:spacing w:after="0"/>
      </w:pPr>
      <w:r>
        <w:t>Signature blocks are complete and executable.</w:t>
      </w:r>
    </w:p>
    <w:p w14:paraId="13896115" w14:textId="77777777" w:rsidR="00D315F1" w:rsidRDefault="00000000">
      <w:pPr>
        <w:pStyle w:val="BodyText"/>
        <w:numPr>
          <w:ilvl w:val="0"/>
          <w:numId w:val="2"/>
        </w:numPr>
        <w:tabs>
          <w:tab w:val="left" w:pos="709"/>
        </w:tabs>
      </w:pPr>
      <w:r>
        <w:t>Any retroactive effect is intentional and clearly documented.</w:t>
      </w:r>
    </w:p>
    <w:p w14:paraId="185E1DFA" w14:textId="77777777" w:rsidR="00D315F1" w:rsidRDefault="00000000">
      <w:pPr>
        <w:pStyle w:val="Heading3"/>
      </w:pPr>
      <w:bookmarkStart w:id="5" w:name="5-fallback-guidance"/>
      <w:bookmarkEnd w:id="5"/>
      <w:r>
        <w:t>5. Fallback Guidance</w:t>
      </w:r>
    </w:p>
    <w:p w14:paraId="6DB0ADE6" w14:textId="77777777" w:rsidR="00D315F1" w:rsidRDefault="00000000">
      <w:pPr>
        <w:pStyle w:val="BodyText"/>
      </w:pPr>
      <w:r>
        <w:t>If the counterparty rejects the preferred position, the following fallback principles apply:</w:t>
      </w:r>
    </w:p>
    <w:p w14:paraId="2E0C4598" w14:textId="77777777" w:rsidR="00D315F1" w:rsidRDefault="00000000">
      <w:pPr>
        <w:pStyle w:val="BodyText"/>
        <w:numPr>
          <w:ilvl w:val="0"/>
          <w:numId w:val="3"/>
        </w:numPr>
        <w:tabs>
          <w:tab w:val="left" w:pos="709"/>
        </w:tabs>
        <w:spacing w:after="0"/>
      </w:pPr>
      <w:r>
        <w:lastRenderedPageBreak/>
        <w:t>Narrow purpose may be broadened slightly, but only if still tied to a defined transaction or relationship.</w:t>
      </w:r>
    </w:p>
    <w:p w14:paraId="27D6A76B" w14:textId="77777777" w:rsidR="00D315F1" w:rsidRDefault="00000000">
      <w:pPr>
        <w:pStyle w:val="BodyText"/>
        <w:numPr>
          <w:ilvl w:val="0"/>
          <w:numId w:val="3"/>
        </w:numPr>
        <w:tabs>
          <w:tab w:val="left" w:pos="709"/>
        </w:tabs>
        <w:spacing w:after="0"/>
      </w:pPr>
      <w:r>
        <w:t>Confidentiality survival may be reduced for ordinary business information, but trade secret protection should remain stronger.</w:t>
      </w:r>
    </w:p>
    <w:p w14:paraId="70E18D7C" w14:textId="77777777" w:rsidR="00D315F1" w:rsidRDefault="00000000">
      <w:pPr>
        <w:pStyle w:val="BodyText"/>
        <w:numPr>
          <w:ilvl w:val="0"/>
          <w:numId w:val="3"/>
        </w:numPr>
        <w:tabs>
          <w:tab w:val="left" w:pos="709"/>
        </w:tabs>
        <w:spacing w:after="0"/>
      </w:pPr>
      <w:r>
        <w:t>Broader representative disclosure may be accepted only if need-to-know and downstream confidentiality protections are preserved.</w:t>
      </w:r>
    </w:p>
    <w:p w14:paraId="17FDB12E" w14:textId="77777777" w:rsidR="00D315F1" w:rsidRDefault="00000000">
      <w:pPr>
        <w:pStyle w:val="BodyText"/>
        <w:numPr>
          <w:ilvl w:val="0"/>
          <w:numId w:val="3"/>
        </w:numPr>
        <w:tabs>
          <w:tab w:val="left" w:pos="709"/>
        </w:tabs>
        <w:spacing w:after="0"/>
      </w:pPr>
      <w:r>
        <w:t>Return/destruction certification may be softened, but legal/compliance retention should always remain confidential.</w:t>
      </w:r>
    </w:p>
    <w:p w14:paraId="7A82F12C" w14:textId="77777777" w:rsidR="00D315F1" w:rsidRDefault="00000000">
      <w:pPr>
        <w:pStyle w:val="BodyText"/>
        <w:numPr>
          <w:ilvl w:val="0"/>
          <w:numId w:val="3"/>
        </w:numPr>
        <w:tabs>
          <w:tab w:val="left" w:pos="709"/>
        </w:tabs>
        <w:spacing w:after="0"/>
      </w:pPr>
      <w:r>
        <w:t>Non-exclusive jurisdiction may be acceptable if governing law remains England and Wales and enforcement flexibility is needed.</w:t>
      </w:r>
    </w:p>
    <w:p w14:paraId="0C6B1F6C" w14:textId="77777777" w:rsidR="00D315F1" w:rsidRDefault="00000000">
      <w:pPr>
        <w:pStyle w:val="BodyText"/>
        <w:numPr>
          <w:ilvl w:val="0"/>
          <w:numId w:val="3"/>
        </w:numPr>
        <w:tabs>
          <w:tab w:val="left" w:pos="709"/>
        </w:tabs>
      </w:pPr>
      <w:r>
        <w:t>Assignment flexibility may be negotiated where internal reorganizations or financing transactions are likely.</w:t>
      </w:r>
    </w:p>
    <w:p w14:paraId="04A11E12" w14:textId="77777777" w:rsidR="00D315F1" w:rsidRDefault="00000000">
      <w:pPr>
        <w:pStyle w:val="Heading3"/>
      </w:pPr>
      <w:bookmarkStart w:id="6" w:name="6-escalation-triggers"/>
      <w:bookmarkEnd w:id="6"/>
      <w:r>
        <w:t>6. Escalation Triggers</w:t>
      </w:r>
    </w:p>
    <w:p w14:paraId="340B55FB" w14:textId="77777777" w:rsidR="00D315F1" w:rsidRDefault="00000000">
      <w:pPr>
        <w:pStyle w:val="BodyText"/>
      </w:pPr>
      <w:r>
        <w:t>Escalate the NDA for legal approval if any of the following appear:</w:t>
      </w:r>
    </w:p>
    <w:p w14:paraId="31EE55ED" w14:textId="77777777" w:rsidR="00D315F1" w:rsidRDefault="00000000">
      <w:pPr>
        <w:pStyle w:val="BodyText"/>
        <w:numPr>
          <w:ilvl w:val="0"/>
          <w:numId w:val="4"/>
        </w:numPr>
        <w:tabs>
          <w:tab w:val="left" w:pos="709"/>
        </w:tabs>
        <w:spacing w:after="0"/>
      </w:pPr>
      <w:r>
        <w:t>no independent development exclusion;</w:t>
      </w:r>
    </w:p>
    <w:p w14:paraId="1F63337A" w14:textId="77777777" w:rsidR="00D315F1" w:rsidRDefault="00000000">
      <w:pPr>
        <w:pStyle w:val="BodyText"/>
        <w:numPr>
          <w:ilvl w:val="0"/>
          <w:numId w:val="4"/>
        </w:numPr>
        <w:tabs>
          <w:tab w:val="left" w:pos="709"/>
        </w:tabs>
        <w:spacing w:after="0"/>
      </w:pPr>
      <w:r>
        <w:t>no prior knowledge exclusion;</w:t>
      </w:r>
    </w:p>
    <w:p w14:paraId="3BBA82A6" w14:textId="77777777" w:rsidR="00D315F1" w:rsidRDefault="00000000">
      <w:pPr>
        <w:pStyle w:val="BodyText"/>
        <w:numPr>
          <w:ilvl w:val="0"/>
          <w:numId w:val="4"/>
        </w:numPr>
        <w:tabs>
          <w:tab w:val="left" w:pos="709"/>
        </w:tabs>
        <w:spacing w:after="0"/>
      </w:pPr>
      <w:r>
        <w:t>no compelled disclosure clause;</w:t>
      </w:r>
    </w:p>
    <w:p w14:paraId="7D32DE09" w14:textId="77777777" w:rsidR="00D315F1" w:rsidRDefault="00000000">
      <w:pPr>
        <w:pStyle w:val="BodyText"/>
        <w:numPr>
          <w:ilvl w:val="0"/>
          <w:numId w:val="4"/>
        </w:numPr>
        <w:tabs>
          <w:tab w:val="left" w:pos="709"/>
        </w:tabs>
        <w:spacing w:after="0"/>
      </w:pPr>
      <w:r>
        <w:t>no no-licence or ownership language in a technical or product context;</w:t>
      </w:r>
    </w:p>
    <w:p w14:paraId="237D0744" w14:textId="77777777" w:rsidR="00D315F1" w:rsidRDefault="00000000">
      <w:pPr>
        <w:pStyle w:val="BodyText"/>
        <w:numPr>
          <w:ilvl w:val="0"/>
          <w:numId w:val="4"/>
        </w:numPr>
        <w:tabs>
          <w:tab w:val="left" w:pos="709"/>
        </w:tabs>
        <w:spacing w:after="0"/>
      </w:pPr>
      <w:r>
        <w:t>perpetual unrestricted confidentiality obligations without proper carve-outs;</w:t>
      </w:r>
    </w:p>
    <w:p w14:paraId="0E8C8942" w14:textId="77777777" w:rsidR="00D315F1" w:rsidRDefault="00000000">
      <w:pPr>
        <w:pStyle w:val="BodyText"/>
        <w:numPr>
          <w:ilvl w:val="0"/>
          <w:numId w:val="4"/>
        </w:numPr>
        <w:tabs>
          <w:tab w:val="left" w:pos="709"/>
        </w:tabs>
        <w:spacing w:after="0"/>
      </w:pPr>
      <w:r>
        <w:t>broad internal use rights beyond evaluation;</w:t>
      </w:r>
    </w:p>
    <w:p w14:paraId="407A5C61" w14:textId="77777777" w:rsidR="00D315F1" w:rsidRDefault="00000000">
      <w:pPr>
        <w:pStyle w:val="BodyText"/>
        <w:numPr>
          <w:ilvl w:val="0"/>
          <w:numId w:val="4"/>
        </w:numPr>
        <w:tabs>
          <w:tab w:val="left" w:pos="709"/>
        </w:tabs>
        <w:spacing w:after="0"/>
      </w:pPr>
      <w:r>
        <w:t>reverse engineering permitted or not prohibited where technology is involved;</w:t>
      </w:r>
    </w:p>
    <w:p w14:paraId="3136BFF1" w14:textId="77777777" w:rsidR="00D315F1" w:rsidRDefault="00000000">
      <w:pPr>
        <w:pStyle w:val="BodyText"/>
        <w:numPr>
          <w:ilvl w:val="0"/>
          <w:numId w:val="4"/>
        </w:numPr>
        <w:tabs>
          <w:tab w:val="left" w:pos="709"/>
        </w:tabs>
        <w:spacing w:after="0"/>
      </w:pPr>
      <w:r>
        <w:t>mismatched governing law and dispute forum;</w:t>
      </w:r>
    </w:p>
    <w:p w14:paraId="1C6E5E10" w14:textId="77777777" w:rsidR="00D315F1" w:rsidRDefault="00000000">
      <w:pPr>
        <w:pStyle w:val="BodyText"/>
        <w:numPr>
          <w:ilvl w:val="0"/>
          <w:numId w:val="4"/>
        </w:numPr>
        <w:tabs>
          <w:tab w:val="left" w:pos="709"/>
        </w:tabs>
        <w:spacing w:after="0"/>
      </w:pPr>
      <w:r>
        <w:t>mandatory foreign jurisdiction with no clear commercial reason;</w:t>
      </w:r>
    </w:p>
    <w:p w14:paraId="511B59AA" w14:textId="77777777" w:rsidR="00D315F1" w:rsidRDefault="00000000">
      <w:pPr>
        <w:pStyle w:val="BodyText"/>
        <w:numPr>
          <w:ilvl w:val="0"/>
          <w:numId w:val="4"/>
        </w:numPr>
        <w:tabs>
          <w:tab w:val="left" w:pos="709"/>
        </w:tabs>
        <w:spacing w:after="0"/>
      </w:pPr>
      <w:r>
        <w:t>rights for third parties to enforce the NDA;</w:t>
      </w:r>
    </w:p>
    <w:p w14:paraId="214B9E09" w14:textId="77777777" w:rsidR="00D315F1" w:rsidRDefault="00000000">
      <w:pPr>
        <w:pStyle w:val="BodyText"/>
        <w:numPr>
          <w:ilvl w:val="0"/>
          <w:numId w:val="4"/>
        </w:numPr>
        <w:tabs>
          <w:tab w:val="left" w:pos="709"/>
        </w:tabs>
        <w:spacing w:after="0"/>
      </w:pPr>
      <w:r>
        <w:t>unusually aggressive reliance language or factual warranties;</w:t>
      </w:r>
    </w:p>
    <w:p w14:paraId="6CFA797D" w14:textId="77777777" w:rsidR="00D315F1" w:rsidRDefault="00000000">
      <w:pPr>
        <w:pStyle w:val="BodyText"/>
        <w:numPr>
          <w:ilvl w:val="0"/>
          <w:numId w:val="4"/>
        </w:numPr>
        <w:tabs>
          <w:tab w:val="left" w:pos="709"/>
        </w:tabs>
        <w:spacing w:after="0"/>
      </w:pPr>
      <w:r>
        <w:t>inability to disclose to necessary affiliates, advisers, or financing sources; or</w:t>
      </w:r>
    </w:p>
    <w:p w14:paraId="60138F6B" w14:textId="77777777" w:rsidR="00D315F1" w:rsidRDefault="00000000">
      <w:pPr>
        <w:pStyle w:val="BodyText"/>
        <w:numPr>
          <w:ilvl w:val="0"/>
          <w:numId w:val="4"/>
        </w:numPr>
        <w:tabs>
          <w:tab w:val="left" w:pos="709"/>
        </w:tabs>
      </w:pPr>
      <w:r>
        <w:t>provisions that conflict with internal compliance, data retention, or IT backup requirements.</w:t>
      </w:r>
    </w:p>
    <w:p w14:paraId="6971E1FF" w14:textId="77777777" w:rsidR="00D315F1" w:rsidRDefault="00000000">
      <w:pPr>
        <w:pStyle w:val="Heading3"/>
      </w:pPr>
      <w:bookmarkStart w:id="7" w:name="7-preferred-governing-law-position"/>
      <w:bookmarkEnd w:id="7"/>
      <w:r>
        <w:t>7. Preferred Governing Law Position</w:t>
      </w:r>
    </w:p>
    <w:p w14:paraId="50F7E394" w14:textId="77777777" w:rsidR="00D315F1" w:rsidRDefault="00000000">
      <w:pPr>
        <w:pStyle w:val="BodyText"/>
      </w:pPr>
      <w:r>
        <w:t>Preferred governing law: England and Wales.</w:t>
      </w:r>
    </w:p>
    <w:p w14:paraId="50E28CD7" w14:textId="77777777" w:rsidR="00D315F1" w:rsidRDefault="00000000">
      <w:pPr>
        <w:pStyle w:val="BodyText"/>
      </w:pPr>
      <w:r>
        <w:t>Preferred forum: exclusive jurisdiction of the courts of England and Wales.</w:t>
      </w:r>
    </w:p>
    <w:p w14:paraId="1E41F969" w14:textId="77777777" w:rsidR="00D315F1" w:rsidRDefault="00000000">
      <w:pPr>
        <w:pStyle w:val="BodyText"/>
      </w:pPr>
      <w:r>
        <w:t>Any departure from this default position should be approved based on transaction-specific circumstances, enforcement considerations, or mandatory local law issues.</w:t>
      </w:r>
    </w:p>
    <w:p w14:paraId="6409FACC" w14:textId="77777777" w:rsidR="00D315F1" w:rsidRDefault="00000000">
      <w:pPr>
        <w:pStyle w:val="Heading3"/>
      </w:pPr>
      <w:bookmarkStart w:id="8" w:name="8-drafting-notes-for-internal-use"/>
      <w:bookmarkEnd w:id="8"/>
      <w:r>
        <w:t>8. Drafting Notes for Internal Use</w:t>
      </w:r>
    </w:p>
    <w:p w14:paraId="6DE75327" w14:textId="77777777" w:rsidR="00D315F1" w:rsidRDefault="00000000">
      <w:pPr>
        <w:pStyle w:val="BodyText"/>
        <w:numPr>
          <w:ilvl w:val="0"/>
          <w:numId w:val="5"/>
        </w:numPr>
        <w:tabs>
          <w:tab w:val="left" w:pos="709"/>
        </w:tabs>
        <w:spacing w:after="0"/>
      </w:pPr>
      <w:r>
        <w:t>Use plain, modern drafting.</w:t>
      </w:r>
    </w:p>
    <w:p w14:paraId="5E6DE059" w14:textId="77777777" w:rsidR="00D315F1" w:rsidRDefault="00000000">
      <w:pPr>
        <w:pStyle w:val="BodyText"/>
        <w:numPr>
          <w:ilvl w:val="0"/>
          <w:numId w:val="5"/>
        </w:numPr>
        <w:tabs>
          <w:tab w:val="left" w:pos="709"/>
        </w:tabs>
        <w:spacing w:after="0"/>
      </w:pPr>
      <w:r>
        <w:t>Keep disclosure restrictions and use restrictions separate.</w:t>
      </w:r>
    </w:p>
    <w:p w14:paraId="3844A6CD" w14:textId="77777777" w:rsidR="00D315F1" w:rsidRDefault="00000000">
      <w:pPr>
        <w:pStyle w:val="BodyText"/>
        <w:numPr>
          <w:ilvl w:val="0"/>
          <w:numId w:val="5"/>
        </w:numPr>
        <w:tabs>
          <w:tab w:val="left" w:pos="709"/>
        </w:tabs>
        <w:spacing w:after="0"/>
      </w:pPr>
      <w:r>
        <w:t>Avoid internal inconsistencies between term, termination, and survival.</w:t>
      </w:r>
    </w:p>
    <w:p w14:paraId="3CBFD29A" w14:textId="77777777" w:rsidR="00D315F1" w:rsidRDefault="00000000">
      <w:pPr>
        <w:pStyle w:val="BodyText"/>
        <w:numPr>
          <w:ilvl w:val="0"/>
          <w:numId w:val="5"/>
        </w:numPr>
        <w:tabs>
          <w:tab w:val="left" w:pos="709"/>
        </w:tabs>
        <w:spacing w:after="0"/>
      </w:pPr>
      <w:r>
        <w:t>Do not omit practical boilerplate simply for brevity if doing so creates ambiguity.</w:t>
      </w:r>
    </w:p>
    <w:p w14:paraId="25FF2667" w14:textId="77777777" w:rsidR="00D315F1" w:rsidRDefault="00000000">
      <w:pPr>
        <w:pStyle w:val="BodyText"/>
        <w:numPr>
          <w:ilvl w:val="0"/>
          <w:numId w:val="5"/>
        </w:numPr>
        <w:tabs>
          <w:tab w:val="left" w:pos="709"/>
        </w:tabs>
        <w:spacing w:after="0"/>
      </w:pPr>
      <w:r>
        <w:t>For technology, software, data, or product discussions, include stronger protections around trade secrets, reverse engineering, and IP ownership.</w:t>
      </w:r>
    </w:p>
    <w:p w14:paraId="487109B2" w14:textId="77777777" w:rsidR="00D315F1" w:rsidRDefault="00000000">
      <w:pPr>
        <w:pStyle w:val="BodyText"/>
        <w:numPr>
          <w:ilvl w:val="0"/>
          <w:numId w:val="5"/>
        </w:numPr>
        <w:tabs>
          <w:tab w:val="left" w:pos="709"/>
        </w:tabs>
      </w:pPr>
      <w:r>
        <w:t>For one-way NDAs, consider whether remedies, representative controls, and use restrictions should be stronger than in a balanced mutual form.</w:t>
      </w:r>
    </w:p>
    <w:p w14:paraId="338DC80F" w14:textId="77777777" w:rsidR="00D315F1" w:rsidRDefault="00000000">
      <w:pPr>
        <w:pStyle w:val="Heading3"/>
      </w:pPr>
      <w:bookmarkStart w:id="9" w:name="9-approval-and-version-control"/>
      <w:bookmarkEnd w:id="9"/>
      <w:r>
        <w:lastRenderedPageBreak/>
        <w:t>9. Approval and Version Control</w:t>
      </w:r>
    </w:p>
    <w:p w14:paraId="6140AB7B" w14:textId="77777777" w:rsidR="00D315F1" w:rsidRDefault="00000000">
      <w:pPr>
        <w:pStyle w:val="BodyText"/>
      </w:pPr>
      <w:r>
        <w:t xml:space="preserve">This playbook applies from </w:t>
      </w:r>
      <w:r>
        <w:rPr>
          <w:shd w:val="clear" w:color="auto" w:fill="FFFF00"/>
        </w:rPr>
        <w:t>[EFFECTIVE DATE]</w:t>
      </w:r>
      <w:r>
        <w:t xml:space="preserve"> until replaced or updated.</w:t>
      </w:r>
    </w:p>
    <w:p w14:paraId="08FF8B31" w14:textId="77777777" w:rsidR="00D315F1" w:rsidRDefault="00000000">
      <w:pPr>
        <w:pStyle w:val="BodyText"/>
      </w:pPr>
      <w:r>
        <w:t xml:space="preserve">Document owner: </w:t>
      </w:r>
      <w:r>
        <w:rPr>
          <w:shd w:val="clear" w:color="auto" w:fill="FFFF00"/>
        </w:rPr>
        <w:t>[DOCUMENT OWNER]</w:t>
      </w:r>
    </w:p>
    <w:p w14:paraId="4E8B93CB" w14:textId="77777777" w:rsidR="00D315F1" w:rsidRDefault="00000000">
      <w:pPr>
        <w:pStyle w:val="BodyText"/>
      </w:pPr>
      <w:r>
        <w:t xml:space="preserve">Approved by: </w:t>
      </w:r>
      <w:r>
        <w:rPr>
          <w:shd w:val="clear" w:color="auto" w:fill="FFFF00"/>
        </w:rPr>
        <w:t>[APPROVER NAME]</w:t>
      </w:r>
    </w:p>
    <w:p w14:paraId="5BB1A70A" w14:textId="77777777" w:rsidR="00D315F1" w:rsidRDefault="00000000">
      <w:pPr>
        <w:pStyle w:val="BodyText"/>
      </w:pPr>
      <w:r>
        <w:t xml:space="preserve">Version: </w:t>
      </w:r>
      <w:r>
        <w:rPr>
          <w:shd w:val="clear" w:color="auto" w:fill="FFFF00"/>
        </w:rPr>
        <w:t>[VERSION]</w:t>
      </w:r>
    </w:p>
    <w:p w14:paraId="496211BC" w14:textId="77777777" w:rsidR="00D315F1" w:rsidRDefault="00000000">
      <w:pPr>
        <w:pStyle w:val="BodyText"/>
      </w:pPr>
      <w:r>
        <w:t xml:space="preserve">Review date: </w:t>
      </w:r>
      <w:r>
        <w:rPr>
          <w:shd w:val="clear" w:color="auto" w:fill="FFFF00"/>
        </w:rPr>
        <w:t>[REVIEW DATE]</w:t>
      </w:r>
    </w:p>
    <w:sectPr w:rsidR="00D315F1">
      <w:pgSz w:w="12240" w:h="15840"/>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1"/>
    <w:family w:val="roman"/>
    <w:pitch w:val="variable"/>
  </w:font>
  <w:font w:name="Noto Serif CJK SC">
    <w:panose1 w:val="020B0604020202020204"/>
    <w:charset w:val="00"/>
    <w:family w:val="roman"/>
    <w:notTrueType/>
    <w:pitch w:val="default"/>
  </w:font>
  <w:font w:name="FreeSans">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OpenSymbol">
    <w:altName w:val="Arial Unicode MS"/>
    <w:panose1 w:val="020B0604020202020204"/>
    <w:charset w:val="02"/>
    <w:family w:val="auto"/>
    <w:pitch w:val="default"/>
  </w:font>
  <w:font w:name="Liberation Sans">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56DAF"/>
    <w:multiLevelType w:val="multilevel"/>
    <w:tmpl w:val="2236D35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 w15:restartNumberingAfterBreak="0">
    <w:nsid w:val="1FC3268D"/>
    <w:multiLevelType w:val="multilevel"/>
    <w:tmpl w:val="766EB80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31F66070"/>
    <w:multiLevelType w:val="multilevel"/>
    <w:tmpl w:val="F5D21C6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4C256FED"/>
    <w:multiLevelType w:val="multilevel"/>
    <w:tmpl w:val="4A4A7CF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642D504C"/>
    <w:multiLevelType w:val="multilevel"/>
    <w:tmpl w:val="8238FEB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7E530EE1"/>
    <w:multiLevelType w:val="multilevel"/>
    <w:tmpl w:val="0538A204"/>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1794786381">
    <w:abstractNumId w:val="4"/>
  </w:num>
  <w:num w:numId="2" w16cid:durableId="492062950">
    <w:abstractNumId w:val="0"/>
  </w:num>
  <w:num w:numId="3" w16cid:durableId="1734616228">
    <w:abstractNumId w:val="2"/>
  </w:num>
  <w:num w:numId="4" w16cid:durableId="119036962">
    <w:abstractNumId w:val="1"/>
  </w:num>
  <w:num w:numId="5" w16cid:durableId="566572927">
    <w:abstractNumId w:val="3"/>
  </w:num>
  <w:num w:numId="6" w16cid:durableId="2024479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5F1"/>
    <w:rsid w:val="001F2456"/>
    <w:rsid w:val="004F6EA6"/>
    <w:rsid w:val="00D315F1"/>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decimalSymbol w:val="."/>
  <w:listSeparator w:val=","/>
  <w14:docId w14:val="31FB8CCC"/>
  <w15:docId w15:val="{283FF6AC-86AD-C64E-8C40-F9102101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uiPriority w:val="9"/>
    <w:qFormat/>
    <w:pPr>
      <w:outlineLvl w:val="0"/>
    </w:pPr>
    <w:rPr>
      <w:rFonts w:ascii="Noto Sans" w:hAnsi="Noto Sans"/>
      <w:b/>
      <w:bCs/>
      <w:sz w:val="48"/>
      <w:szCs w:val="44"/>
    </w:rPr>
  </w:style>
  <w:style w:type="paragraph" w:styleId="Heading2">
    <w:name w:val="heading 2"/>
    <w:basedOn w:val="Heading"/>
    <w:next w:val="BodyText"/>
    <w:uiPriority w:val="9"/>
    <w:unhideWhenUsed/>
    <w:qFormat/>
    <w:pPr>
      <w:spacing w:before="200" w:after="120"/>
      <w:outlineLvl w:val="1"/>
    </w:pPr>
    <w:rPr>
      <w:rFonts w:ascii="Liberation Serif" w:hAnsi="Liberation Serif"/>
      <w:b/>
      <w:bCs/>
      <w:sz w:val="36"/>
      <w:szCs w:val="36"/>
    </w:rPr>
  </w:style>
  <w:style w:type="paragraph" w:styleId="Heading3">
    <w:name w:val="heading 3"/>
    <w:basedOn w:val="Heading"/>
    <w:next w:val="BodyText"/>
    <w:uiPriority w:val="9"/>
    <w:unhideWhenUsed/>
    <w:qFormat/>
    <w:pPr>
      <w:spacing w:before="140" w:after="120"/>
      <w:outlineLvl w:val="2"/>
    </w:pPr>
    <w:rPr>
      <w:rFonts w:ascii="Liberation Serif"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986"/>
        <w:tab w:val="right" w:pos="9972"/>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customStyle="1" w:styleId="TableHeading">
    <w:name w:val="Table Heading"/>
    <w:basedOn w:val="TableContents"/>
    <w:qFormat/>
    <w:pPr>
      <w:suppressLineNumbers/>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2642</Words>
  <Characters>14352</Characters>
  <Application>Microsoft Office Word</Application>
  <DocSecurity>0</DocSecurity>
  <Lines>235</Lines>
  <Paragraphs>106</Paragraphs>
  <ScaleCrop>false</ScaleCrop>
  <Company/>
  <LinksUpToDate>false</LinksUpToDate>
  <CharactersWithSpaces>16888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Electra Japonas</dc:creator>
  <dc:description/>
  <cp:lastModifiedBy>Electra Japonas</cp:lastModifiedBy>
  <cp:revision>2</cp:revision>
  <dcterms:created xsi:type="dcterms:W3CDTF">2026-06-09T05:38:00Z</dcterms:created>
  <dcterms:modified xsi:type="dcterms:W3CDTF">2026-06-09T05:38:00Z</dcterms:modified>
  <dc:language>en-US</dc:language>
</cp:coreProperties>
</file>