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6C5C6470" w14:textId="77777777" w:rsidTr="005123FD">
        <w:tc>
          <w:tcPr>
            <w:tcW w:w="2122" w:type="dxa"/>
          </w:tcPr>
          <w:p w14:paraId="7B1B89AE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  <w:vAlign w:val="center"/>
          </w:tcPr>
          <w:p w14:paraId="6A7DD976" w14:textId="5C69DD2B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51319</w:t>
            </w:r>
          </w:p>
          <w:p w14:paraId="790C6A7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AD4798F" w14:textId="77777777" w:rsidTr="005123FD">
        <w:tc>
          <w:tcPr>
            <w:tcW w:w="2122" w:type="dxa"/>
          </w:tcPr>
          <w:p w14:paraId="2F86126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  <w:vAlign w:val="center"/>
          </w:tcPr>
          <w:p w14:paraId="457CBAAE" w14:textId="7BB26885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OSIJEK</w:t>
            </w:r>
          </w:p>
          <w:p w14:paraId="5D12871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075D1708" w14:textId="77777777" w:rsidTr="005123FD">
        <w:tc>
          <w:tcPr>
            <w:tcW w:w="2122" w:type="dxa"/>
          </w:tcPr>
          <w:p w14:paraId="34482962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  <w:vAlign w:val="center"/>
          </w:tcPr>
          <w:p w14:paraId="4F68648D" w14:textId="47D9778B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72E647CA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400FDD18" w14:textId="77777777" w:rsidTr="005123FD">
        <w:tc>
          <w:tcPr>
            <w:tcW w:w="2122" w:type="dxa"/>
          </w:tcPr>
          <w:p w14:paraId="1949511F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  <w:vAlign w:val="center"/>
          </w:tcPr>
          <w:p w14:paraId="2CB9C31E" w14:textId="115CBEFA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2023-12</w:t>
            </w:r>
          </w:p>
          <w:p w14:paraId="6D7F19DB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0C967F09" w14:textId="77777777" w:rsidTr="005123FD">
        <w:tc>
          <w:tcPr>
            <w:tcW w:w="2122" w:type="dxa"/>
          </w:tcPr>
          <w:p w14:paraId="3BA1C958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  <w:vAlign w:val="center"/>
          </w:tcPr>
          <w:p w14:paraId="48B616D3" w14:textId="75BEEFF0" w:rsidR="00F2541C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</w:t>
            </w:r>
            <w:r w:rsidRPr="005123FD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port-osijek.hr</w:t>
            </w:r>
          </w:p>
        </w:tc>
      </w:tr>
    </w:tbl>
    <w:p w14:paraId="049442B5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C357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5B32E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4337A5A1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8D9FAFD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7E8C28" w14:textId="77777777" w:rsidR="004F6DF2" w:rsidRPr="00680392" w:rsidRDefault="004F6DF2">
          <w:pPr>
            <w:pStyle w:val="TOCNaslov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2AD3C8FA" w14:textId="77777777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1EEC5" w14:textId="77777777" w:rsidR="004F6DF2" w:rsidRPr="00680392" w:rsidRDefault="007B004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1CE24" w14:textId="77777777" w:rsidR="004F6DF2" w:rsidRPr="00680392" w:rsidRDefault="007B004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0DF500" w14:textId="77777777" w:rsidR="004F6DF2" w:rsidRPr="00680392" w:rsidRDefault="007B004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7CC424" w14:textId="77777777" w:rsidR="004F6DF2" w:rsidRPr="00680392" w:rsidRDefault="007B004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D42F8" w14:textId="77777777" w:rsidR="004F6DF2" w:rsidRPr="00680392" w:rsidRDefault="007B004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EC5D1" w14:textId="77777777" w:rsidR="004F6DF2" w:rsidRPr="00680392" w:rsidRDefault="007B004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78C5D" w14:textId="77777777" w:rsidR="004F6DF2" w:rsidRPr="00680392" w:rsidRDefault="007B004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0906B" w14:textId="77777777" w:rsidR="004F6DF2" w:rsidRPr="00680392" w:rsidRDefault="007B004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="004F6DF2"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F6DF2"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C14166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6F6A884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FABAE3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8473AC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FA723E2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A18807A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90586F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4175F83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FB7FDC0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08EB4CC" w14:textId="77777777" w:rsidR="00170E21" w:rsidRPr="00036DEE" w:rsidRDefault="00170E21" w:rsidP="00036DEE">
      <w:pPr>
        <w:pStyle w:val="Naslov1"/>
      </w:pPr>
      <w:bookmarkStart w:id="0" w:name="_Toc128989454"/>
      <w:r w:rsidRPr="00036DEE">
        <w:lastRenderedPageBreak/>
        <w:t>B I LJ E Š K E  U Z  B I L A N C U</w:t>
      </w:r>
      <w:bookmarkEnd w:id="0"/>
    </w:p>
    <w:p w14:paraId="0DBACE4E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528931CB" w14:textId="77777777" w:rsidR="00170E21" w:rsidRDefault="00170E21" w:rsidP="00036DEE">
      <w:pPr>
        <w:pStyle w:val="Naslov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74482012" w14:textId="77777777" w:rsidR="00170E21" w:rsidRPr="00614260" w:rsidRDefault="00170E21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0E033EE4" w14:textId="329776E4" w:rsidR="00614260" w:rsidRDefault="005123FD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 na dan 31.12.2023. iznosi 918.334,74 eura i u odnosu na isto razdoblje prethodne godine manja je za 4,1%</w:t>
      </w:r>
    </w:p>
    <w:p w14:paraId="2D90571E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6AECC6" w14:textId="77777777" w:rsidR="0069302A" w:rsidRPr="00614260" w:rsidRDefault="0069302A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420A175C" w14:textId="77B8E9DB" w:rsidR="00614260" w:rsidRDefault="005123FD" w:rsidP="009039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na dan 31.12.2023. iznosi </w:t>
      </w:r>
      <w:r w:rsidR="00903995">
        <w:rPr>
          <w:rFonts w:ascii="Times New Roman" w:hAnsi="Times New Roman" w:cs="Times New Roman"/>
          <w:sz w:val="24"/>
          <w:szCs w:val="24"/>
        </w:rPr>
        <w:t>2.164.899,85 eura u odnosu na isto razdoblje prethodne godine manja je za 6,2%. Čine ju građevinski objekti, postrojenja i oprema te prijevozna sredstva.</w:t>
      </w:r>
    </w:p>
    <w:p w14:paraId="182EFD7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BD836F" w14:textId="77777777" w:rsidR="006A7AD0" w:rsidRPr="00614260" w:rsidRDefault="006A7AD0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4A6819AF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AE18AE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F59757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7BBBAD0F" w14:textId="7E4EF858" w:rsidR="00614260" w:rsidRDefault="00DB4C9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Dugotrajna nefinancijska imovina u pripremi iznosi 9.331.964,79</w:t>
      </w:r>
      <w:r w:rsidR="0028438F">
        <w:rPr>
          <w:rFonts w:ascii="Times New Roman" w:hAnsi="Times New Roman" w:cs="Times New Roman"/>
          <w:sz w:val="24"/>
          <w:szCs w:val="24"/>
        </w:rPr>
        <w:t xml:space="preserve"> eura i odnosi se na građevinske objekte u pripremi. U odnosu na 2023. godinu bilježi se povećanje od </w:t>
      </w:r>
      <w:r w:rsidR="00E860F6">
        <w:rPr>
          <w:rFonts w:ascii="Times New Roman" w:hAnsi="Times New Roman" w:cs="Times New Roman"/>
          <w:sz w:val="24"/>
          <w:szCs w:val="24"/>
        </w:rPr>
        <w:t>97,7</w:t>
      </w:r>
      <w:r w:rsidR="0028438F">
        <w:rPr>
          <w:rFonts w:ascii="Times New Roman" w:hAnsi="Times New Roman" w:cs="Times New Roman"/>
          <w:sz w:val="24"/>
          <w:szCs w:val="24"/>
        </w:rPr>
        <w:t xml:space="preserve">% zbog </w:t>
      </w:r>
      <w:r w:rsidR="00944077">
        <w:rPr>
          <w:rFonts w:ascii="Times New Roman" w:hAnsi="Times New Roman" w:cs="Times New Roman"/>
          <w:sz w:val="24"/>
          <w:szCs w:val="24"/>
        </w:rPr>
        <w:t>početka radova na izgradnji terminala za pretovar rasutih tereta u luci Osijek.</w:t>
      </w:r>
    </w:p>
    <w:p w14:paraId="69EB0B1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1547E5" w14:textId="77777777" w:rsidR="006A7AD0" w:rsidRPr="0061426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40741487" w14:textId="7F49629D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444E18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774BA66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741FA01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C4C6AD0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AAA813" w14:textId="11300A2A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jamčevni polozi i potraživanja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1FFE93C8" w14:textId="0A4A7C5F" w:rsidR="00614260" w:rsidRDefault="00944077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pozicija odnosi se najvećim dijelom na potraživanja za dane predujmove i na 31.12.2023. iznosi 1.912.825,49 eura što je gotovo u istom iznosu kao i u izvještajnom razdoblju prethodne godine.</w:t>
      </w:r>
    </w:p>
    <w:p w14:paraId="04781FF3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F6E5AE9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17A267E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77BDF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8BE778E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2DFD547C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9EE0FA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29BF0B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1892FC3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E371B9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8E9D94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4B3FE24C" w14:textId="0FB7E97E" w:rsidR="00614260" w:rsidRDefault="00944077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iznose 940.653,17 eura i najvećim dijelom se odnose potraživanja Lučke uprave Osijek za sredstva uplaćena u proračun RH. Ova pozicija u odnosu na isto razdoblje prethodne godine bilježi znatan pora</w:t>
      </w:r>
      <w:r w:rsidR="00B17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zbog uplate predujma</w:t>
      </w:r>
      <w:r w:rsidR="00B17FED">
        <w:rPr>
          <w:rFonts w:ascii="Times New Roman" w:hAnsi="Times New Roman" w:cs="Times New Roman"/>
          <w:sz w:val="24"/>
          <w:szCs w:val="24"/>
        </w:rPr>
        <w:t xml:space="preserve"> u iznosu od 744.905,50 eura</w:t>
      </w:r>
      <w:r>
        <w:rPr>
          <w:rFonts w:ascii="Times New Roman" w:hAnsi="Times New Roman" w:cs="Times New Roman"/>
          <w:sz w:val="24"/>
          <w:szCs w:val="24"/>
        </w:rPr>
        <w:t xml:space="preserve"> po projektu koji </w:t>
      </w:r>
      <w:r w:rsidR="00B17FED">
        <w:rPr>
          <w:rFonts w:ascii="Times New Roman" w:hAnsi="Times New Roman" w:cs="Times New Roman"/>
          <w:sz w:val="24"/>
          <w:szCs w:val="24"/>
        </w:rPr>
        <w:t xml:space="preserve">se financira iz CEF-a. </w:t>
      </w:r>
    </w:p>
    <w:p w14:paraId="6CD96BE7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0D6524" w14:textId="77777777" w:rsidR="006A7AD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58EE096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EB302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FA2EE15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0894720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E71437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FF591F" w14:textId="77777777" w:rsidR="00680392" w:rsidRDefault="00680392" w:rsidP="00036DEE">
      <w:pPr>
        <w:pStyle w:val="Naslov2"/>
      </w:pPr>
      <w:bookmarkStart w:id="2" w:name="_Toc128989456"/>
    </w:p>
    <w:p w14:paraId="570ADD9E" w14:textId="77777777" w:rsidR="0069302A" w:rsidRPr="00036DEE" w:rsidRDefault="001D4818" w:rsidP="00036DEE">
      <w:pPr>
        <w:pStyle w:val="Naslov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2"/>
    </w:p>
    <w:p w14:paraId="56E4CAB1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2240CF67" w14:textId="7A364C34" w:rsidR="00614260" w:rsidRDefault="00B17FED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iznose 42.604,74 eura i manje su za 25,5% u odnosu na isto razdoblje prethodne godine. Najvećim dijelom ih čine obveze za zaposlene i ostale tekuće obveze.</w:t>
      </w:r>
    </w:p>
    <w:p w14:paraId="2B6179D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8CC5C9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148C9A32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1043266" w14:textId="09C6C57C" w:rsidR="00064C4E" w:rsidRDefault="00B17FED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nabavu nefinancijske imovine za izvještajno razdoblje iznose 10.535,85 eura.</w:t>
      </w:r>
    </w:p>
    <w:p w14:paraId="490E62C6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7F0192D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6102A59E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98892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D3309B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lastRenderedPageBreak/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03FC7910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7BD0A9F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4D24E3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8D2254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4D6AF91C" w14:textId="66091D9D" w:rsidR="00064C4E" w:rsidRDefault="00A84CFA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u izvještajnom razdoblju iznose 12.415.199,38 i odnose se na vlastite izvore iz proračuna. Veći su u odnosu na prethodno izvještajno razdoblje zbog početka radova na izgradnji terminala za pretovar rasutih tereta u luci Osijek.</w:t>
      </w:r>
    </w:p>
    <w:p w14:paraId="1BE3861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9C98F9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4CA52FCB" w14:textId="747F74A1" w:rsidR="00064C4E" w:rsidRDefault="00A84CFA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bilježi se povećanje viška prihoda u odnosu na prethodno izvještajno razdoblje</w:t>
      </w:r>
      <w:r w:rsidR="003148D5">
        <w:rPr>
          <w:rFonts w:ascii="Times New Roman" w:hAnsi="Times New Roman" w:cs="Times New Roman"/>
          <w:sz w:val="24"/>
          <w:szCs w:val="24"/>
        </w:rPr>
        <w:t xml:space="preserve"> te iznosi 2.774.691,17 eura </w:t>
      </w:r>
      <w:r>
        <w:rPr>
          <w:rFonts w:ascii="Times New Roman" w:hAnsi="Times New Roman" w:cs="Times New Roman"/>
          <w:sz w:val="24"/>
          <w:szCs w:val="24"/>
        </w:rPr>
        <w:t xml:space="preserve">. Višak prihoda poslovanja iznosi 870.481,40 eura, a višak prihoda od nefinancijske imovine iznosi 1.904.209,77 eura. Ovakvo odstupanje u odnosu na 2022. godinu nastalo je zbog ispravka krivo knjiženog </w:t>
      </w:r>
      <w:r w:rsidR="00613D09">
        <w:rPr>
          <w:rFonts w:ascii="Times New Roman" w:hAnsi="Times New Roman" w:cs="Times New Roman"/>
          <w:sz w:val="24"/>
          <w:szCs w:val="24"/>
        </w:rPr>
        <w:t xml:space="preserve">danog </w:t>
      </w:r>
      <w:r>
        <w:rPr>
          <w:rFonts w:ascii="Times New Roman" w:hAnsi="Times New Roman" w:cs="Times New Roman"/>
          <w:sz w:val="24"/>
          <w:szCs w:val="24"/>
        </w:rPr>
        <w:t>predujma</w:t>
      </w:r>
      <w:r w:rsidR="00613D09">
        <w:rPr>
          <w:rFonts w:ascii="Times New Roman" w:hAnsi="Times New Roman" w:cs="Times New Roman"/>
          <w:sz w:val="24"/>
          <w:szCs w:val="24"/>
        </w:rPr>
        <w:t>. Predujam je plaćen 2022. godine te je greškom iskazan i prihod i rashod iako u tom trenutku nije bilo knjigovodstvenog troška.</w:t>
      </w:r>
      <w:r w:rsidR="007B0042">
        <w:rPr>
          <w:rFonts w:ascii="Times New Roman" w:hAnsi="Times New Roman" w:cs="Times New Roman"/>
          <w:sz w:val="24"/>
          <w:szCs w:val="24"/>
        </w:rPr>
        <w:t xml:space="preserve"> Ispravak rezultata rađen je temeljem Odluke Upravnog vijeća te je </w:t>
      </w:r>
      <w:r w:rsidR="007B0042">
        <w:rPr>
          <w:rFonts w:ascii="Times New Roman" w:hAnsi="Times New Roman" w:cs="Times New Roman"/>
          <w:sz w:val="24"/>
          <w:szCs w:val="24"/>
        </w:rPr>
        <w:t>iskazan</w:t>
      </w:r>
      <w:r w:rsidR="007B0042">
        <w:rPr>
          <w:rFonts w:ascii="Times New Roman" w:hAnsi="Times New Roman" w:cs="Times New Roman"/>
          <w:sz w:val="24"/>
          <w:szCs w:val="24"/>
        </w:rPr>
        <w:t xml:space="preserve"> </w:t>
      </w:r>
      <w:r w:rsidR="007B0042">
        <w:rPr>
          <w:rFonts w:ascii="Times New Roman" w:hAnsi="Times New Roman" w:cs="Times New Roman"/>
          <w:sz w:val="24"/>
          <w:szCs w:val="24"/>
        </w:rPr>
        <w:t xml:space="preserve">kao preneseni rezultat (višak prihoda </w:t>
      </w:r>
      <w:r w:rsidR="007B0042">
        <w:rPr>
          <w:rFonts w:ascii="Times New Roman" w:hAnsi="Times New Roman" w:cs="Times New Roman"/>
          <w:sz w:val="24"/>
          <w:szCs w:val="24"/>
        </w:rPr>
        <w:t>od nefinancijske imovine</w:t>
      </w:r>
      <w:r w:rsidR="007B0042">
        <w:rPr>
          <w:rFonts w:ascii="Times New Roman" w:hAnsi="Times New Roman" w:cs="Times New Roman"/>
          <w:sz w:val="24"/>
          <w:szCs w:val="24"/>
        </w:rPr>
        <w:t>) u PR-RAS obrascu</w:t>
      </w:r>
      <w:r w:rsidR="007B0042">
        <w:rPr>
          <w:rFonts w:ascii="Times New Roman" w:hAnsi="Times New Roman" w:cs="Times New Roman"/>
          <w:sz w:val="24"/>
          <w:szCs w:val="24"/>
        </w:rPr>
        <w:t>.</w:t>
      </w:r>
    </w:p>
    <w:p w14:paraId="7827667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92233F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735ED6DD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65D838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24A09B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16321FFF" w14:textId="0F86BE07" w:rsidR="00064C4E" w:rsidRDefault="00613D0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iznose 25.646,90 eura i bilježe povećanje od 21,7% u odnosu na prethodno izvještajno razdoblje.</w:t>
      </w:r>
    </w:p>
    <w:p w14:paraId="1C022A4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1C4820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4A07A9CC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09DD77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81D65A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2C091669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AD7A3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3628B5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7FC56074" w14:textId="16EC0E1F" w:rsidR="00064C4E" w:rsidRPr="007B0042" w:rsidRDefault="00613D09" w:rsidP="007B00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Izvanbilančni zapisi iznose 4.204.219,27 eura i odnose se na tuđu imovinu dobivenu na korištenje.</w:t>
      </w:r>
    </w:p>
    <w:p w14:paraId="5212365B" w14:textId="77777777" w:rsidR="0069302A" w:rsidRPr="00614260" w:rsidRDefault="0069302A" w:rsidP="00036DEE">
      <w:pPr>
        <w:pStyle w:val="Naslov1"/>
      </w:pPr>
      <w:bookmarkStart w:id="3" w:name="_Toc128989457"/>
      <w:r w:rsidRPr="00614260">
        <w:lastRenderedPageBreak/>
        <w:t>B I LJ E Š K E  U Z  O B R A Z A C  P R – R A S</w:t>
      </w:r>
      <w:bookmarkEnd w:id="3"/>
    </w:p>
    <w:p w14:paraId="1FBC1069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CCE4D56" w14:textId="77777777" w:rsidR="006A7AD0" w:rsidRDefault="006A7AD0" w:rsidP="00036DEE">
      <w:pPr>
        <w:pStyle w:val="Naslov2"/>
      </w:pPr>
      <w:bookmarkStart w:id="4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4"/>
    </w:p>
    <w:p w14:paraId="617990C4" w14:textId="77777777" w:rsidR="00036DEE" w:rsidRPr="00036DEE" w:rsidRDefault="00036DEE" w:rsidP="00036DEE"/>
    <w:p w14:paraId="0FB395B5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778306CF" w14:textId="7DB1B629" w:rsidR="00064C4E" w:rsidRDefault="00C90D1D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u izvještajnom razdoblju iznose 2.858.666,26 eura i najvećim dijelom se odnose na pomoći od međunarodnih institucija i tijela EU gdje su iskazani prihodi koje je Lučka uprava Osijek ostvarila kroz </w:t>
      </w:r>
      <w:r w:rsidR="00C05820">
        <w:rPr>
          <w:rFonts w:ascii="Times New Roman" w:hAnsi="Times New Roman" w:cs="Times New Roman"/>
          <w:sz w:val="24"/>
          <w:szCs w:val="24"/>
        </w:rPr>
        <w:t>projekte financirane EU sredstvima.</w:t>
      </w:r>
    </w:p>
    <w:p w14:paraId="78A92D08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31733C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3D1E8ADB" w14:textId="3FEE7E9D" w:rsidR="00064C4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iznose 20.650,10 eura i ostvareni su temeljem koncesijske naknade. Bilježi se pad od 16,7% u odnosu na prethodnu godinu zbog smanjene količine pretovarenog tereta kod koncesionara.</w:t>
      </w:r>
    </w:p>
    <w:p w14:paraId="57C1C707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FD3EB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715BF740" w14:textId="448487F1" w:rsidR="00036DE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i naknada</w:t>
      </w:r>
      <w:r w:rsidR="00091A07">
        <w:rPr>
          <w:rFonts w:ascii="Times New Roman" w:hAnsi="Times New Roman" w:cs="Times New Roman"/>
          <w:sz w:val="24"/>
          <w:szCs w:val="24"/>
        </w:rPr>
        <w:t xml:space="preserve"> iznose 51.914,09 eura i</w:t>
      </w:r>
      <w:r>
        <w:rPr>
          <w:rFonts w:ascii="Times New Roman" w:hAnsi="Times New Roman" w:cs="Times New Roman"/>
          <w:sz w:val="24"/>
          <w:szCs w:val="24"/>
        </w:rPr>
        <w:t xml:space="preserve"> manji su za 66,7% </w:t>
      </w:r>
      <w:r w:rsidR="00091A07">
        <w:rPr>
          <w:rFonts w:ascii="Times New Roman" w:hAnsi="Times New Roman" w:cs="Times New Roman"/>
          <w:sz w:val="24"/>
          <w:szCs w:val="24"/>
        </w:rPr>
        <w:t xml:space="preserve">u odnosu na 2022. godinu </w:t>
      </w:r>
      <w:r>
        <w:rPr>
          <w:rFonts w:ascii="Times New Roman" w:hAnsi="Times New Roman" w:cs="Times New Roman"/>
          <w:sz w:val="24"/>
          <w:szCs w:val="24"/>
        </w:rPr>
        <w:t>zbog smanjenog broja dolaska brodara u luku Osijek i zbog smanjene količine pretovarenog tereta u odnosu na prethodna izvještajna razdoblja.</w:t>
      </w:r>
    </w:p>
    <w:p w14:paraId="70294D5B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B8986AE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6600AD55" w14:textId="3687B951" w:rsidR="00064C4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u izvještajnom razdoblju iznose 9.138,81 eura i odnose se na prihode </w:t>
      </w:r>
      <w:r w:rsidR="00B34D0A">
        <w:rPr>
          <w:rFonts w:ascii="Times New Roman" w:hAnsi="Times New Roman" w:cs="Times New Roman"/>
          <w:sz w:val="24"/>
          <w:szCs w:val="24"/>
        </w:rPr>
        <w:t>od zakupa i iznajmljivanja imovine. U odnosu na isto razdoblje prošle godine veći su za 182,1%.</w:t>
      </w:r>
    </w:p>
    <w:p w14:paraId="430673EA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99B045" w14:textId="77777777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480C4638" w14:textId="794FC827" w:rsidR="00064C4E" w:rsidRDefault="00B34D0A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i od HZZO-a na temelju ugovornih obveza iznose 3.031.736,68 eura a čine ih prihodi iz proračuna za financiranje redovne djelatnosti Lučke uprave Osijek. U odnosu na prethodnu godinu veći su za 108,2% povećanja kapitalnih investicija.</w:t>
      </w:r>
    </w:p>
    <w:p w14:paraId="19EEB58D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B7A89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21CB251C" w14:textId="77777777" w:rsid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5B7A04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64B2F0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53315F9A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282D7C8D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0FEC62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EC7087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06A5A784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18167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22D72D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AA5D488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D7308F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6EBEE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6B9EA5C4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4A4817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CBC65CE" w14:textId="77777777" w:rsidR="00680392" w:rsidRDefault="00680392" w:rsidP="00036DEE">
      <w:pPr>
        <w:pStyle w:val="Naslov2"/>
      </w:pPr>
      <w:bookmarkStart w:id="5" w:name="_Toc128989459"/>
    </w:p>
    <w:p w14:paraId="629A8CAA" w14:textId="77777777" w:rsidR="000D58E1" w:rsidRDefault="006A7AD0" w:rsidP="00036DEE">
      <w:pPr>
        <w:pStyle w:val="Naslov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5"/>
    </w:p>
    <w:p w14:paraId="5E134746" w14:textId="77777777" w:rsidR="00036DEE" w:rsidRPr="00036DEE" w:rsidRDefault="00036DEE" w:rsidP="00036DEE"/>
    <w:p w14:paraId="24A2296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7C1A9673" w14:textId="4D3A82FF" w:rsidR="004F6DF2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 iznose 219.639,76 eura i viši su 10,4% u odnosu na 2022. godinu. Lučka uprava Osijek na dan 31.12.2023. ima 9 zaposlenih.</w:t>
      </w:r>
    </w:p>
    <w:p w14:paraId="230AB1A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4E923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1D4BF816" w14:textId="20CC2ED8" w:rsidR="004F6DF2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iznose 388.936,63 eura i manji su 13,5% u odnosu na 2022. godinu. Najvećim dijelom ih čine rashodi za usluge i ostali nespomenuti rashodi poslovanja.</w:t>
      </w:r>
    </w:p>
    <w:p w14:paraId="06792F2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127F6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4AAE478B" w14:textId="3FD5EDF1" w:rsidR="00036DEE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iznose 317,88 eura i na istoj su razini kao i 2022. godine.</w:t>
      </w:r>
    </w:p>
    <w:p w14:paraId="1AFB711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B2E7824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0C3CF6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F953F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2176D52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37C9BD87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178BC9C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E87AF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34C2752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162D92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DEF4E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186745D3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EE70B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660340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4E979CF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96EA81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33892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75221866" w14:textId="431576D7" w:rsidR="00036DEE" w:rsidRDefault="00B34D0A" w:rsidP="00C90E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iznose 4.644.710,95 eura i veći su za 95,5% u odnosu na prethodnu godinu. Najvećim dijelom ih čine rashodi za ostale građevinske objekte zbog </w:t>
      </w:r>
      <w:r w:rsidR="00C90E83">
        <w:rPr>
          <w:rFonts w:ascii="Times New Roman" w:hAnsi="Times New Roman" w:cs="Times New Roman"/>
          <w:sz w:val="24"/>
          <w:szCs w:val="24"/>
        </w:rPr>
        <w:t>početka radova na izgradnji terminala za pretovar rasutih tereta u luci Osijek.</w:t>
      </w:r>
    </w:p>
    <w:p w14:paraId="380F02D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EC6FE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338EF366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1C6627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878E5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556C142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4D8B03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DAB513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3461829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DB382B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06794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47676059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E8221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B703ABF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37DA6D6D" w14:textId="77777777" w:rsidR="00C90E83" w:rsidRDefault="00C90E83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3B147211" w14:textId="77777777" w:rsidR="00C90E83" w:rsidRDefault="00C90E83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7B8A9749" w14:textId="77777777" w:rsidR="000D58E1" w:rsidRDefault="000D58E1" w:rsidP="00036DEE">
      <w:pPr>
        <w:pStyle w:val="Naslov1"/>
      </w:pPr>
      <w:bookmarkStart w:id="6" w:name="_Toc128989460"/>
      <w:r w:rsidRPr="00614260">
        <w:lastRenderedPageBreak/>
        <w:t>B I LJ E Š K E  U Z  O B R A Z A C  P – V R I O</w:t>
      </w:r>
      <w:bookmarkEnd w:id="6"/>
    </w:p>
    <w:p w14:paraId="0EDACCED" w14:textId="77777777" w:rsidR="004F6DF2" w:rsidRPr="004F6DF2" w:rsidRDefault="004F6DF2" w:rsidP="004F6DF2"/>
    <w:p w14:paraId="7AF447E2" w14:textId="77777777" w:rsidR="000D58E1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8769441" w14:textId="08F83D28" w:rsidR="000D58E1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nije bilo promjene u vrijednosti i obujmu imovine i obveza</w:t>
      </w:r>
    </w:p>
    <w:p w14:paraId="48222B7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EB9594" w14:textId="77777777" w:rsidR="002F6EF6" w:rsidRDefault="002F6EF6" w:rsidP="00036DEE">
      <w:pPr>
        <w:pStyle w:val="Naslov1"/>
      </w:pPr>
      <w:bookmarkStart w:id="7" w:name="_Toc128989461"/>
    </w:p>
    <w:p w14:paraId="4D92383E" w14:textId="77777777" w:rsidR="002F6EF6" w:rsidRDefault="002F6EF6" w:rsidP="002F6EF6"/>
    <w:p w14:paraId="7D848B45" w14:textId="77777777" w:rsidR="002F6EF6" w:rsidRPr="002F6EF6" w:rsidRDefault="002F6EF6" w:rsidP="002F6EF6"/>
    <w:p w14:paraId="60DFD3B8" w14:textId="77777777" w:rsidR="000D58E1" w:rsidRPr="00614260" w:rsidRDefault="00005934" w:rsidP="00036DEE">
      <w:pPr>
        <w:pStyle w:val="Naslov1"/>
      </w:pPr>
      <w:r w:rsidRPr="00614260">
        <w:t>R A S – f u n k c i j s k i</w:t>
      </w:r>
      <w:bookmarkEnd w:id="7"/>
    </w:p>
    <w:p w14:paraId="05CA2B37" w14:textId="77777777" w:rsidR="000D58E1" w:rsidRDefault="00D91326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37E889A3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EF515F1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B57B5B0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7EE1F39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4A8261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E78A8C3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25EF45C4" w14:textId="3553C509" w:rsidR="004F6DF2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 iznose 5.253.605,22 i veći su za 70,3% u odnosu na 2022. godinu zbog povećanja rashoda za radove na izgradnji terminala za pretovar rasutih tereta u luci Osijek.</w:t>
      </w:r>
    </w:p>
    <w:p w14:paraId="67542CAB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428C5E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4B0FA95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E17655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856609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2EA821D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27F6C7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32DB74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4D19BC98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5B7F58" w14:textId="77777777" w:rsidR="00C90E83" w:rsidRDefault="00C90E83" w:rsidP="00C90E83">
      <w:pPr>
        <w:pStyle w:val="Naslov1"/>
        <w:jc w:val="left"/>
      </w:pPr>
      <w:bookmarkStart w:id="8" w:name="_Toc128989462"/>
    </w:p>
    <w:p w14:paraId="03D2C464" w14:textId="77777777" w:rsidR="00C90E83" w:rsidRPr="00C90E83" w:rsidRDefault="00C90E83" w:rsidP="00C90E83"/>
    <w:p w14:paraId="10D8483E" w14:textId="69BABFC3" w:rsidR="0069302A" w:rsidRPr="00614260" w:rsidRDefault="000D58E1" w:rsidP="00036DEE">
      <w:pPr>
        <w:pStyle w:val="Naslov1"/>
      </w:pPr>
      <w:r w:rsidRPr="00614260">
        <w:lastRenderedPageBreak/>
        <w:t>B I LJ E Š K E  U Z  O B R A Z A C  O B V E Z E</w:t>
      </w:r>
      <w:bookmarkEnd w:id="8"/>
    </w:p>
    <w:p w14:paraId="54582001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53D0AA04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07174BA0" w14:textId="19AC2DB1" w:rsidR="004F6DF2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izvještajnog razdoblja ukupne obveze iznose 53.140,59 eura. Najvećim dijelom se odnose na obveze za zaposlene, obveze za primljene jamčevine te na obveze za materijalne rashode.</w:t>
      </w:r>
    </w:p>
    <w:p w14:paraId="23BCE96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52072E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62EA3A7D" w14:textId="0058B735" w:rsidR="004F6DF2" w:rsidRDefault="00B8102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na kraju izvještajnog razdoblja iznose 9.285,85 eura i odnose se na račun koji je zaprimljen tek u 2024. godini, sa valutom 30.12.2023.</w:t>
      </w:r>
    </w:p>
    <w:p w14:paraId="4ED2B1E3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FF4190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7282DA98" w14:textId="140DC1E8" w:rsidR="004F6DF2" w:rsidRDefault="00B8102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na kraju izvještajnog razdoblja iznose 43.854,74 eura od čega se 42.604,74 eura odnosi na obveze na rashode poslovanja, a 1.250 eura na obveze za nabavu nefinancijske imovine.</w:t>
      </w:r>
    </w:p>
    <w:p w14:paraId="2108FCA5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90A8" w14:textId="77777777" w:rsidR="00057FE7" w:rsidRDefault="00057FE7" w:rsidP="00CC75C5">
      <w:pPr>
        <w:spacing w:after="0" w:line="240" w:lineRule="auto"/>
      </w:pPr>
      <w:r>
        <w:separator/>
      </w:r>
    </w:p>
  </w:endnote>
  <w:endnote w:type="continuationSeparator" w:id="0">
    <w:p w14:paraId="50353A50" w14:textId="77777777" w:rsidR="00057FE7" w:rsidRDefault="00057FE7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FC1F0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FDDFE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A7B7" w14:textId="77777777" w:rsidR="00057FE7" w:rsidRDefault="00057FE7" w:rsidP="00CC75C5">
      <w:pPr>
        <w:spacing w:after="0" w:line="240" w:lineRule="auto"/>
      </w:pPr>
      <w:r>
        <w:separator/>
      </w:r>
    </w:p>
  </w:footnote>
  <w:footnote w:type="continuationSeparator" w:id="0">
    <w:p w14:paraId="5C24F0E2" w14:textId="77777777" w:rsidR="00057FE7" w:rsidRDefault="00057FE7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2696369">
    <w:abstractNumId w:val="2"/>
  </w:num>
  <w:num w:numId="2" w16cid:durableId="1029575395">
    <w:abstractNumId w:val="3"/>
  </w:num>
  <w:num w:numId="3" w16cid:durableId="1897350705">
    <w:abstractNumId w:val="1"/>
  </w:num>
  <w:num w:numId="4" w16cid:durableId="43976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57FE7"/>
    <w:rsid w:val="00064C4E"/>
    <w:rsid w:val="00091A07"/>
    <w:rsid w:val="000A0ED1"/>
    <w:rsid w:val="000C01F8"/>
    <w:rsid w:val="000D58E1"/>
    <w:rsid w:val="00170E21"/>
    <w:rsid w:val="001D4818"/>
    <w:rsid w:val="002069E9"/>
    <w:rsid w:val="0028438F"/>
    <w:rsid w:val="002F6EF6"/>
    <w:rsid w:val="003148D5"/>
    <w:rsid w:val="003970FA"/>
    <w:rsid w:val="004517C4"/>
    <w:rsid w:val="004F6DF2"/>
    <w:rsid w:val="005123FD"/>
    <w:rsid w:val="00613D09"/>
    <w:rsid w:val="00614260"/>
    <w:rsid w:val="00680392"/>
    <w:rsid w:val="0069302A"/>
    <w:rsid w:val="006A7AD0"/>
    <w:rsid w:val="007B0042"/>
    <w:rsid w:val="007E53CC"/>
    <w:rsid w:val="00903995"/>
    <w:rsid w:val="00914103"/>
    <w:rsid w:val="00944077"/>
    <w:rsid w:val="00A84CFA"/>
    <w:rsid w:val="00B17FED"/>
    <w:rsid w:val="00B34D0A"/>
    <w:rsid w:val="00B81021"/>
    <w:rsid w:val="00C05820"/>
    <w:rsid w:val="00C90D1D"/>
    <w:rsid w:val="00C90E83"/>
    <w:rsid w:val="00CC75C5"/>
    <w:rsid w:val="00D649D7"/>
    <w:rsid w:val="00D91326"/>
    <w:rsid w:val="00DB4C9E"/>
    <w:rsid w:val="00E17893"/>
    <w:rsid w:val="00E860F6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A73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Danijela Grbić Mihaljević</cp:lastModifiedBy>
  <cp:revision>8</cp:revision>
  <dcterms:created xsi:type="dcterms:W3CDTF">2024-01-09T11:23:00Z</dcterms:created>
  <dcterms:modified xsi:type="dcterms:W3CDTF">2024-01-31T09:48:00Z</dcterms:modified>
</cp:coreProperties>
</file>