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Garamond" w:cs="Garamond" w:eastAsia="Garamond" w:hAnsi="Garamond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Garamond" w:cs="Garamond" w:eastAsia="Garamond" w:hAnsi="Garamond"/>
          <w:sz w:val="26"/>
          <w:szCs w:val="26"/>
        </w:rPr>
      </w:pPr>
      <w:r w:rsidDel="00000000" w:rsidR="00000000" w:rsidRPr="00000000">
        <w:rPr>
          <w:rFonts w:ascii="Garamond" w:cs="Garamond" w:eastAsia="Garamond" w:hAnsi="Garamond"/>
          <w:b w:val="1"/>
          <w:sz w:val="26"/>
          <w:szCs w:val="26"/>
          <w:rtl w:val="0"/>
        </w:rPr>
        <w:t xml:space="preserve">DESCRIPCIÓN DE TRABAJO: EJEMPLO</w:t>
        <w:br w:type="textWrapping"/>
      </w: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b w:val="1"/>
          <w:sz w:val="26"/>
          <w:szCs w:val="26"/>
          <w:rtl w:val="0"/>
        </w:rPr>
        <w:t xml:space="preserve">DIRECTOR DE SERVICIOS DE ALIMENTOS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Garamond" w:cs="Garamond" w:eastAsia="Garamond" w:hAnsi="Garamond"/>
          <w:sz w:val="26"/>
          <w:szCs w:val="26"/>
        </w:rPr>
      </w:pPr>
      <w:r w:rsidDel="00000000" w:rsidR="00000000" w:rsidRPr="00000000">
        <w:rPr>
          <w:rFonts w:ascii="Garamond" w:cs="Garamond" w:eastAsia="Garamond" w:hAnsi="Garamond"/>
          <w:b w:val="1"/>
          <w:sz w:val="26"/>
          <w:szCs w:val="26"/>
          <w:rtl w:val="0"/>
        </w:rPr>
        <w:t xml:space="preserve">Título del Puesto:</w:t>
        <w:br w:type="textWrapping"/>
      </w: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 Director de Servicios de Alimentos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Garamond" w:cs="Garamond" w:eastAsia="Garamond" w:hAnsi="Garamond"/>
          <w:sz w:val="26"/>
          <w:szCs w:val="26"/>
        </w:rPr>
      </w:pPr>
      <w:r w:rsidDel="00000000" w:rsidR="00000000" w:rsidRPr="00000000">
        <w:rPr>
          <w:rFonts w:ascii="Garamond" w:cs="Garamond" w:eastAsia="Garamond" w:hAnsi="Garamond"/>
          <w:b w:val="1"/>
          <w:sz w:val="26"/>
          <w:szCs w:val="26"/>
          <w:rtl w:val="0"/>
        </w:rPr>
        <w:t xml:space="preserve">División: </w:t>
      </w:r>
      <w:r w:rsidDel="00000000" w:rsidR="00000000" w:rsidRPr="00000000">
        <w:rPr>
          <w:rFonts w:ascii="Garamond" w:cs="Garamond" w:eastAsia="Garamond" w:hAnsi="Garamond"/>
          <w:sz w:val="26"/>
          <w:szCs w:val="26"/>
          <w:highlight w:val="yellow"/>
          <w:rtl w:val="0"/>
        </w:rPr>
        <w:t xml:space="preserve">[Dependiente del Distrito]</w:t>
      </w: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 </w:t>
        <w:tab/>
        <w:t xml:space="preserve">                                      </w:t>
      </w:r>
      <w:r w:rsidDel="00000000" w:rsidR="00000000" w:rsidRPr="00000000">
        <w:rPr>
          <w:rFonts w:ascii="Garamond" w:cs="Garamond" w:eastAsia="Garamond" w:hAnsi="Garamond"/>
          <w:b w:val="1"/>
          <w:sz w:val="26"/>
          <w:szCs w:val="26"/>
          <w:rtl w:val="0"/>
        </w:rPr>
        <w:t xml:space="preserve">Código de Puesto:</w:t>
      </w: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 XX </w:t>
      </w:r>
      <w:r w:rsidDel="00000000" w:rsidR="00000000" w:rsidRPr="00000000">
        <w:rPr>
          <w:rFonts w:ascii="Garamond" w:cs="Garamond" w:eastAsia="Garamond" w:hAnsi="Garamond"/>
          <w:b w:val="1"/>
          <w:sz w:val="26"/>
          <w:szCs w:val="26"/>
          <w:rtl w:val="0"/>
        </w:rPr>
        <w:t xml:space="preserve">Departamento: </w:t>
      </w: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Departamento de Servicios de Alimentos (FSD)    </w:t>
      </w:r>
      <w:r w:rsidDel="00000000" w:rsidR="00000000" w:rsidRPr="00000000">
        <w:rPr>
          <w:rFonts w:ascii="Garamond" w:cs="Garamond" w:eastAsia="Garamond" w:hAnsi="Garamond"/>
          <w:b w:val="1"/>
          <w:sz w:val="26"/>
          <w:szCs w:val="26"/>
          <w:rtl w:val="0"/>
        </w:rPr>
        <w:t xml:space="preserve">Afiliación:</w:t>
      </w: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 XX      </w:t>
      </w:r>
      <w:r w:rsidDel="00000000" w:rsidR="00000000" w:rsidRPr="00000000">
        <w:rPr>
          <w:rFonts w:ascii="Garamond" w:cs="Garamond" w:eastAsia="Garamond" w:hAnsi="Garamond"/>
          <w:b w:val="1"/>
          <w:sz w:val="26"/>
          <w:szCs w:val="26"/>
          <w:rtl w:val="0"/>
        </w:rPr>
        <w:t xml:space="preserve">Fecha de Creación:</w:t>
      </w: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 XX </w:t>
        <w:tab/>
        <w:tab/>
        <w:tab/>
        <w:tab/>
        <w:t xml:space="preserve">                           </w:t>
      </w:r>
      <w:r w:rsidDel="00000000" w:rsidR="00000000" w:rsidRPr="00000000">
        <w:rPr>
          <w:rFonts w:ascii="Garamond" w:cs="Garamond" w:eastAsia="Garamond" w:hAnsi="Garamond"/>
          <w:b w:val="1"/>
          <w:sz w:val="26"/>
          <w:szCs w:val="26"/>
          <w:rtl w:val="0"/>
        </w:rPr>
        <w:t xml:space="preserve">Grado:</w:t>
      </w: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 XX</w:t>
        <w:br w:type="textWrapping"/>
        <w:t xml:space="preserve"> </w:t>
      </w:r>
      <w:r w:rsidDel="00000000" w:rsidR="00000000" w:rsidRPr="00000000">
        <w:rPr>
          <w:rFonts w:ascii="Garamond" w:cs="Garamond" w:eastAsia="Garamond" w:hAnsi="Garamond"/>
          <w:b w:val="1"/>
          <w:sz w:val="26"/>
          <w:szCs w:val="26"/>
          <w:rtl w:val="0"/>
        </w:rPr>
        <w:t xml:space="preserve">Fecha de Revisión:</w:t>
      </w: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 XX </w:t>
        <w:tab/>
        <w:tab/>
        <w:tab/>
        <w:t xml:space="preserve">                           </w:t>
      </w:r>
      <w:r w:rsidDel="00000000" w:rsidR="00000000" w:rsidRPr="00000000">
        <w:rPr>
          <w:rFonts w:ascii="Garamond" w:cs="Garamond" w:eastAsia="Garamond" w:hAnsi="Garamond"/>
          <w:b w:val="1"/>
          <w:sz w:val="26"/>
          <w:szCs w:val="26"/>
          <w:rtl w:val="0"/>
        </w:rPr>
        <w:t xml:space="preserve">Estatus de Horas Extras:</w:t>
      </w: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 XX 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Garamond" w:cs="Garamond" w:eastAsia="Garamond" w:hAnsi="Garamond"/>
          <w:sz w:val="26"/>
          <w:szCs w:val="26"/>
        </w:rPr>
      </w:pPr>
      <w:r w:rsidDel="00000000" w:rsidR="00000000" w:rsidRPr="00000000">
        <w:rPr>
          <w:rFonts w:ascii="Garamond" w:cs="Garamond" w:eastAsia="Garamond" w:hAnsi="Garamond"/>
          <w:b w:val="1"/>
          <w:sz w:val="26"/>
          <w:szCs w:val="26"/>
          <w:rtl w:val="0"/>
        </w:rPr>
        <w:t xml:space="preserve">Reporta a:</w:t>
      </w: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sz w:val="26"/>
          <w:szCs w:val="26"/>
          <w:highlight w:val="yellow"/>
          <w:rtl w:val="0"/>
        </w:rPr>
        <w:t xml:space="preserve">[Dependiente del Distrito] </w:t>
      </w:r>
      <w:r w:rsidDel="00000000" w:rsidR="00000000" w:rsidRPr="00000000">
        <w:rPr>
          <w:rFonts w:ascii="Garamond" w:cs="Garamond" w:eastAsia="Garamond" w:hAnsi="Garamond"/>
          <w:b w:val="1"/>
          <w:sz w:val="26"/>
          <w:szCs w:val="26"/>
          <w:rtl w:val="0"/>
        </w:rPr>
        <w:t xml:space="preserve">                                                                  Supervisor Superior:</w:t>
      </w: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sz w:val="26"/>
          <w:szCs w:val="26"/>
          <w:highlight w:val="yellow"/>
          <w:rtl w:val="0"/>
        </w:rPr>
        <w:t xml:space="preserve">[Dependiente del Distrito]</w:t>
      </w:r>
      <w:r w:rsidDel="00000000" w:rsidR="00000000" w:rsidRPr="00000000">
        <w:rPr>
          <w:rFonts w:ascii="Garamond" w:cs="Garamond" w:eastAsia="Garamond" w:hAnsi="Garamond"/>
          <w:b w:val="1"/>
          <w:sz w:val="26"/>
          <w:szCs w:val="26"/>
          <w:rtl w:val="0"/>
        </w:rPr>
        <w:t xml:space="preserve">                                                        Posiciones Supervisadas: </w:t>
      </w: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Gerente de Operaciones, Gerente de Cumplimiento, Analista Financiero Senior, Coordinador de Proyectos Especiales, Personal Administrativo [</w:t>
      </w:r>
      <w:r w:rsidDel="00000000" w:rsidR="00000000" w:rsidRPr="00000000">
        <w:rPr>
          <w:rFonts w:ascii="Garamond" w:cs="Garamond" w:eastAsia="Garamond" w:hAnsi="Garamond"/>
          <w:sz w:val="26"/>
          <w:szCs w:val="26"/>
          <w:highlight w:val="yellow"/>
          <w:rtl w:val="0"/>
        </w:rPr>
        <w:t xml:space="preserve">editar según sea necesario</w:t>
      </w: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]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rPr>
          <w:rFonts w:ascii="Garamond" w:cs="Garamond" w:eastAsia="Garamond" w:hAnsi="Garamond"/>
          <w:u w:val="single"/>
        </w:rPr>
      </w:pPr>
      <w:bookmarkStart w:colFirst="0" w:colLast="0" w:name="_kz0vmaw602rz" w:id="0"/>
      <w:bookmarkEnd w:id="0"/>
      <w:r w:rsidDel="00000000" w:rsidR="00000000" w:rsidRPr="00000000">
        <w:rPr>
          <w:rFonts w:ascii="Garamond" w:cs="Garamond" w:eastAsia="Garamond" w:hAnsi="Garamond"/>
          <w:u w:val="single"/>
          <w:rtl w:val="0"/>
        </w:rPr>
        <w:t xml:space="preserve">Resumen del Puesto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Garamond" w:cs="Garamond" w:eastAsia="Garamond" w:hAnsi="Garamond"/>
          <w:sz w:val="26"/>
          <w:szCs w:val="26"/>
        </w:rPr>
      </w:pP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El Director de Servicios de Alimentos aplica conocimientos profesionales, ética y habilidades administrativas para dirigir un programa integral de servicios de alimentos escolares en el [</w:t>
      </w:r>
      <w:r w:rsidDel="00000000" w:rsidR="00000000" w:rsidRPr="00000000">
        <w:rPr>
          <w:rFonts w:ascii="Garamond" w:cs="Garamond" w:eastAsia="Garamond" w:hAnsi="Garamond"/>
          <w:sz w:val="26"/>
          <w:szCs w:val="26"/>
          <w:highlight w:val="yellow"/>
          <w:rtl w:val="0"/>
        </w:rPr>
        <w:t xml:space="preserve">Distrito de Ejemplo</w:t>
      </w: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], en cumplimiento con las leyes y regulaciones federales y estatales, las ordenanzas locales y estatales de salud, y las políticas del [</w:t>
      </w:r>
      <w:r w:rsidDel="00000000" w:rsidR="00000000" w:rsidRPr="00000000">
        <w:rPr>
          <w:rFonts w:ascii="Garamond" w:cs="Garamond" w:eastAsia="Garamond" w:hAnsi="Garamond"/>
          <w:sz w:val="26"/>
          <w:szCs w:val="26"/>
          <w:highlight w:val="yellow"/>
          <w:rtl w:val="0"/>
        </w:rPr>
        <w:t xml:space="preserve">Distrito de Ejemplo</w:t>
      </w: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].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Garamond" w:cs="Garamond" w:eastAsia="Garamond" w:hAnsi="Garamond"/>
          <w:sz w:val="26"/>
          <w:szCs w:val="26"/>
        </w:rPr>
      </w:pP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El Director de Servicios de Alimentos utiliza habilidades ejemplares de liderazgo y comunicación para mantener una moral saludable, resolver problemas operativos y fomentar relaciones sólidas con el FSD, personal, estudiantes, proveedores, agricultores, maestros y demás partes interesadas.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Garamond" w:cs="Garamond" w:eastAsia="Garamond" w:hAnsi="Garamond"/>
          <w:sz w:val="26"/>
          <w:szCs w:val="26"/>
        </w:rPr>
      </w:pP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Supervisa la implementación del modelo De la Granja a la Cafetería mediante formas innovadoras de mantener los programas de comidas escolares abastecidos con productos frescos, de temporada, orgánicos y/o sostenibles, fomentando asociaciones entre el distrito escolar y la agricultura regional.</w:t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rPr>
          <w:rFonts w:ascii="Garamond" w:cs="Garamond" w:eastAsia="Garamond" w:hAnsi="Garamond"/>
          <w:u w:val="single"/>
        </w:rPr>
      </w:pPr>
      <w:bookmarkStart w:colFirst="0" w:colLast="0" w:name="_ptyld0ony0rl" w:id="1"/>
      <w:bookmarkEnd w:id="1"/>
      <w:r w:rsidDel="00000000" w:rsidR="00000000" w:rsidRPr="00000000">
        <w:rPr>
          <w:rFonts w:ascii="Garamond" w:cs="Garamond" w:eastAsia="Garamond" w:hAnsi="Garamond"/>
          <w:u w:val="single"/>
          <w:rtl w:val="0"/>
        </w:rPr>
        <w:t xml:space="preserve">Deberes y Responsabilidades Esenciales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Garamond" w:cs="Garamond" w:eastAsia="Garamond" w:hAnsi="Garamond"/>
          <w:sz w:val="26"/>
          <w:szCs w:val="26"/>
        </w:rPr>
      </w:pP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Las tareas enumeradas a continuación son ilustraciones de los diversos tipos de trabajo que pueden realizarse. La omisión de declaraciones específicas no excluye estas tareas si son similares, están relacionadas o son una asignación lógica a este puesto.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afterAutospacing="0" w:before="240" w:lineRule="auto"/>
        <w:ind w:left="720" w:hanging="360"/>
        <w:rPr>
          <w:rFonts w:ascii="Garamond" w:cs="Garamond" w:eastAsia="Garamond" w:hAnsi="Garamond"/>
          <w:sz w:val="26"/>
          <w:szCs w:val="26"/>
        </w:rPr>
      </w:pP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Evalúa e incorpora alimentos apropiados del programa de commodities del USDA en el plan semanal de menús.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Garamond" w:cs="Garamond" w:eastAsia="Garamond" w:hAnsi="Garamond"/>
          <w:sz w:val="26"/>
          <w:szCs w:val="26"/>
        </w:rPr>
      </w:pP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Desarrolla y recomienda cambios en las políticas y procedimientos del programa de servicios de alimentos.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Garamond" w:cs="Garamond" w:eastAsia="Garamond" w:hAnsi="Garamond"/>
          <w:sz w:val="26"/>
          <w:szCs w:val="26"/>
        </w:rPr>
      </w:pP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Actúa como enlace con los administradores escolares y el personal administrativo de servicios de alimentos para la gestión y operación del programa de Servicios de Alimentos.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Garamond" w:cs="Garamond" w:eastAsia="Garamond" w:hAnsi="Garamond"/>
          <w:sz w:val="26"/>
          <w:szCs w:val="26"/>
        </w:rPr>
      </w:pP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Prepara y administra el presupuesto de servicios de alimentos, incluidas proyecciones de ingresos y control de gastos, de acuerdo con principios financieros establecidos.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Garamond" w:cs="Garamond" w:eastAsia="Garamond" w:hAnsi="Garamond"/>
          <w:sz w:val="26"/>
          <w:szCs w:val="26"/>
        </w:rPr>
      </w:pP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Analiza las operaciones de servicios de alimentos y los estados financieros, tomando medidas correctivas.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Garamond" w:cs="Garamond" w:eastAsia="Garamond" w:hAnsi="Garamond"/>
          <w:sz w:val="26"/>
          <w:szCs w:val="26"/>
        </w:rPr>
      </w:pP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Realiza recomendaciones para el diseño y distribución de instalaciones para proyectos de renovación y construcción de nuevas instalaciones de servicios de alimentos.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Garamond" w:cs="Garamond" w:eastAsia="Garamond" w:hAnsi="Garamond"/>
          <w:sz w:val="26"/>
          <w:szCs w:val="26"/>
        </w:rPr>
      </w:pP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Aplica principios de gestión y productividad utilizando fórmulas de personal y estableciendo estándares de producción.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Garamond" w:cs="Garamond" w:eastAsia="Garamond" w:hAnsi="Garamond"/>
          <w:sz w:val="26"/>
          <w:szCs w:val="26"/>
        </w:rPr>
      </w:pP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Conocimiento y capacidad para aplicar la preparación sostenible de alimentos, recetas y menús en la implementación continua del programa.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Garamond" w:cs="Garamond" w:eastAsia="Garamond" w:hAnsi="Garamond"/>
          <w:sz w:val="26"/>
          <w:szCs w:val="26"/>
        </w:rPr>
      </w:pP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Asegura el estricto cumplimiento de las recetas, garantizando que los alimentos servidos sean de la más alta calidad nutricional y de sabor.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Garamond" w:cs="Garamond" w:eastAsia="Garamond" w:hAnsi="Garamond"/>
          <w:sz w:val="26"/>
          <w:szCs w:val="26"/>
        </w:rPr>
      </w:pP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Dirige el desarrollo de estándares para la operación de programas de servicios de alimentos de calidad.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Garamond" w:cs="Garamond" w:eastAsia="Garamond" w:hAnsi="Garamond"/>
          <w:sz w:val="26"/>
          <w:szCs w:val="26"/>
        </w:rPr>
      </w:pP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Supervisa el desarrollo de especificaciones para alimentos, suministros relacionados y equipos.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Garamond" w:cs="Garamond" w:eastAsia="Garamond" w:hAnsi="Garamond"/>
          <w:sz w:val="26"/>
          <w:szCs w:val="26"/>
        </w:rPr>
      </w:pP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Es responsable de la adquisición y mantenimiento de todos los equipos de capital y activos fijos relacionados.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Garamond" w:cs="Garamond" w:eastAsia="Garamond" w:hAnsi="Garamond"/>
          <w:sz w:val="26"/>
          <w:szCs w:val="26"/>
        </w:rPr>
      </w:pP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Aprueba la adquisición de productos y suministros.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Garamond" w:cs="Garamond" w:eastAsia="Garamond" w:hAnsi="Garamond"/>
          <w:sz w:val="26"/>
          <w:szCs w:val="26"/>
        </w:rPr>
      </w:pP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Dirige el desarrollo de actividades de capacitación para el personal de servicios de alimentos.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Garamond" w:cs="Garamond" w:eastAsia="Garamond" w:hAnsi="Garamond"/>
          <w:sz w:val="26"/>
          <w:szCs w:val="26"/>
        </w:rPr>
      </w:pP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Establece procedimientos para la selección, asignación, transferencia y despido del personal de servicios de alimentos según las políticas establecidas. Resuelve quejas laborales y conflictos del departamento, según corresponda.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Garamond" w:cs="Garamond" w:eastAsia="Garamond" w:hAnsi="Garamond"/>
          <w:sz w:val="26"/>
          <w:szCs w:val="26"/>
        </w:rPr>
      </w:pP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Dirige el desarrollo de materiales de información pública y comunicados de prensa sobre programas de servicios de alimentos escolares, reuniéndose con estudiantes, maestros, padres, proveedores, empleados y grupos comunitarios para promover los programas de servicios de alimentos escolares.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Garamond" w:cs="Garamond" w:eastAsia="Garamond" w:hAnsi="Garamond"/>
          <w:sz w:val="26"/>
          <w:szCs w:val="26"/>
        </w:rPr>
      </w:pP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Comunica las políticas, procedimientos, metas y objetivos del FSD.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Garamond" w:cs="Garamond" w:eastAsia="Garamond" w:hAnsi="Garamond"/>
          <w:sz w:val="26"/>
          <w:szCs w:val="26"/>
        </w:rPr>
      </w:pP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Gestiona equipos asignados en el desarrollo, diseño, revisión, implementación y reevaluación periódica de planes y estrategias de proyectos para apoyar el logro de los objetivos departamentales.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Garamond" w:cs="Garamond" w:eastAsia="Garamond" w:hAnsi="Garamond"/>
          <w:sz w:val="26"/>
          <w:szCs w:val="26"/>
        </w:rPr>
      </w:pP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Proporciona supervisión adecuada, tutoría y oportunidades de desarrollo profesional al personal asignado, incluyendo planes de crecimiento profesional para mantenerse al día con los avances, literatura y fuentes técnicas de información actuales.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Garamond" w:cs="Garamond" w:eastAsia="Garamond" w:hAnsi="Garamond"/>
          <w:sz w:val="26"/>
          <w:szCs w:val="26"/>
        </w:rPr>
      </w:pP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Realiza y promueve todas las actividades en cumplimiento con políticas de igualdad de empleo y no discriminación; sigue las leyes federales, estatales, políticas del consejo escolar y estándares profesionales.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rFonts w:ascii="Garamond" w:cs="Garamond" w:eastAsia="Garamond" w:hAnsi="Garamond"/>
          <w:sz w:val="26"/>
          <w:szCs w:val="26"/>
          <w:u w:val="none"/>
        </w:rPr>
      </w:pP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Maneja excelentes habilidades de comunicación verbal, escrita e interpersonal  </w:t>
      </w:r>
    </w:p>
    <w:p w:rsidR="00000000" w:rsidDel="00000000" w:rsidP="00000000" w:rsidRDefault="00000000" w:rsidRPr="00000000" w14:paraId="00000021">
      <w:pPr>
        <w:pStyle w:val="Heading3"/>
        <w:keepNext w:val="0"/>
        <w:keepLines w:val="0"/>
        <w:rPr>
          <w:rFonts w:ascii="Garamond" w:cs="Garamond" w:eastAsia="Garamond" w:hAnsi="Garamond"/>
          <w:u w:val="single"/>
        </w:rPr>
      </w:pPr>
      <w:bookmarkStart w:colFirst="0" w:colLast="0" w:name="_oveb5opuqxy2" w:id="2"/>
      <w:bookmarkEnd w:id="2"/>
      <w:r w:rsidDel="00000000" w:rsidR="00000000" w:rsidRPr="00000000">
        <w:rPr>
          <w:rFonts w:ascii="Garamond" w:cs="Garamond" w:eastAsia="Garamond" w:hAnsi="Garamond"/>
          <w:u w:val="single"/>
          <w:rtl w:val="0"/>
        </w:rPr>
        <w:t xml:space="preserve">Educación y Experiencia Relacionada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Garamond" w:cs="Garamond" w:eastAsia="Garamond" w:hAnsi="Garamond"/>
          <w:sz w:val="26"/>
          <w:szCs w:val="26"/>
          <w:u w:val="none"/>
        </w:rPr>
      </w:pP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Para calificar para este puesto, el candidato debe poseer cualquier combinación de experiencia y educación que asegure el cumplimiento de los requisitos del trabajo, incluyendo un Título en Artes Culinarias de una institución certificada, Licenciatura o superior en Alimentación y Nutrición, Gestión Institucional, Administración de Empresas o un campo relacionado. Se prefiere Maestría, además de amplia experiencia en los campos de gestión de sistemas de servicios de alimentos a nivel ejecutivo, nutrición y agricultura sostenible.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Garamond" w:cs="Garamond" w:eastAsia="Garamond" w:hAnsi="Garamond"/>
          <w:sz w:val="26"/>
          <w:szCs w:val="26"/>
          <w:u w:val="none"/>
        </w:rPr>
      </w:pP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Se requiere un mínimo de [</w:t>
      </w:r>
      <w:r w:rsidDel="00000000" w:rsidR="00000000" w:rsidRPr="00000000">
        <w:rPr>
          <w:rFonts w:ascii="Garamond" w:cs="Garamond" w:eastAsia="Garamond" w:hAnsi="Garamond"/>
          <w:sz w:val="26"/>
          <w:szCs w:val="26"/>
          <w:highlight w:val="yellow"/>
          <w:rtl w:val="0"/>
        </w:rPr>
        <w:t xml:space="preserve">diez años de experiencia en la gestión de servicios de alimentos a gran escala (distritos K-12 con más de 20,000 estudiantes o con un conteo diario de comidas de 30,000)</w:t>
      </w: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] con énfasis en un modelo sostenible que incluya: planificación de menús, adquisición de alimentos, capacitación y supervisión del personal, y servicio de comidas nutritivas, sabrosas y atractivas preparadas desde cero en un entorno comercial o institucional, preferentemente con experiencia en estándares y cumplimiento del USDA.</w:t>
      </w:r>
    </w:p>
    <w:p w:rsidR="00000000" w:rsidDel="00000000" w:rsidP="00000000" w:rsidRDefault="00000000" w:rsidRPr="00000000" w14:paraId="00000024">
      <w:pPr>
        <w:pStyle w:val="Heading3"/>
        <w:keepNext w:val="0"/>
        <w:keepLines w:val="0"/>
        <w:rPr>
          <w:rFonts w:ascii="Garamond" w:cs="Garamond" w:eastAsia="Garamond" w:hAnsi="Garamond"/>
          <w:u w:val="single"/>
        </w:rPr>
      </w:pPr>
      <w:bookmarkStart w:colFirst="0" w:colLast="0" w:name="_b0elns5r0guj" w:id="3"/>
      <w:bookmarkEnd w:id="3"/>
      <w:r w:rsidDel="00000000" w:rsidR="00000000" w:rsidRPr="00000000">
        <w:rPr>
          <w:rFonts w:ascii="Garamond" w:cs="Garamond" w:eastAsia="Garamond" w:hAnsi="Garamond"/>
          <w:u w:val="single"/>
          <w:rtl w:val="0"/>
        </w:rPr>
        <w:t xml:space="preserve">Licencias, Registros o Certificaciones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pacing w:after="0" w:afterAutospacing="0" w:before="240" w:lineRule="auto"/>
        <w:ind w:left="720" w:hanging="360"/>
        <w:rPr>
          <w:rFonts w:ascii="Garamond" w:cs="Garamond" w:eastAsia="Garamond" w:hAnsi="Garamond"/>
          <w:sz w:val="26"/>
          <w:szCs w:val="26"/>
        </w:rPr>
      </w:pP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Licencia de Conducir válida </w:t>
      </w: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del [</w:t>
      </w:r>
      <w:r w:rsidDel="00000000" w:rsidR="00000000" w:rsidRPr="00000000">
        <w:rPr>
          <w:rFonts w:ascii="Garamond" w:cs="Garamond" w:eastAsia="Garamond" w:hAnsi="Garamond"/>
          <w:sz w:val="26"/>
          <w:szCs w:val="26"/>
          <w:highlight w:val="yellow"/>
          <w:rtl w:val="0"/>
        </w:rPr>
        <w:t xml:space="preserve">estado</w:t>
      </w:r>
      <w:r w:rsidDel="00000000" w:rsidR="00000000" w:rsidRPr="00000000">
        <w:rPr>
          <w:rFonts w:ascii="Garamond" w:cs="Garamond" w:eastAsia="Garamond" w:hAnsi="Garamond"/>
          <w:sz w:val="26"/>
          <w:szCs w:val="26"/>
          <w:highlight w:val="yellow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sz w:val="26"/>
          <w:szCs w:val="26"/>
          <w:highlight w:val="yellow"/>
          <w:rtl w:val="0"/>
        </w:rPr>
        <w:t xml:space="preserve">correspondiente</w:t>
      </w: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]</w:t>
      </w: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rFonts w:ascii="Garamond" w:cs="Garamond" w:eastAsia="Garamond" w:hAnsi="Garamond"/>
          <w:sz w:val="26"/>
          <w:szCs w:val="26"/>
        </w:rPr>
      </w:pP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Certificado de Manipulación de Alimentos válido.</w:t>
      </w:r>
    </w:p>
    <w:p w:rsidR="00000000" w:rsidDel="00000000" w:rsidP="00000000" w:rsidRDefault="00000000" w:rsidRPr="00000000" w14:paraId="00000027">
      <w:pPr>
        <w:pStyle w:val="Heading3"/>
        <w:keepNext w:val="0"/>
        <w:keepLines w:val="0"/>
        <w:rPr>
          <w:rFonts w:ascii="Garamond" w:cs="Garamond" w:eastAsia="Garamond" w:hAnsi="Garamond"/>
          <w:u w:val="single"/>
        </w:rPr>
      </w:pPr>
      <w:bookmarkStart w:colFirst="0" w:colLast="0" w:name="_tahfs45no0dz" w:id="4"/>
      <w:bookmarkEnd w:id="4"/>
      <w:r w:rsidDel="00000000" w:rsidR="00000000" w:rsidRPr="00000000">
        <w:rPr>
          <w:rFonts w:ascii="Garamond" w:cs="Garamond" w:eastAsia="Garamond" w:hAnsi="Garamond"/>
          <w:u w:val="single"/>
          <w:rtl w:val="0"/>
        </w:rPr>
        <w:t xml:space="preserve">Habilidades Técnicas, Conocimientos y Capacidades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spacing w:after="0" w:afterAutospacing="0" w:before="240" w:lineRule="auto"/>
        <w:ind w:left="720" w:hanging="360"/>
        <w:rPr>
          <w:rFonts w:ascii="Garamond" w:cs="Garamond" w:eastAsia="Garamond" w:hAnsi="Garamond"/>
          <w:sz w:val="26"/>
          <w:szCs w:val="26"/>
        </w:rPr>
      </w:pP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Conocimiento de procedimientos, políticas, prácticas y métodos de operación en servicios de alimentos.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Garamond" w:cs="Garamond" w:eastAsia="Garamond" w:hAnsi="Garamond"/>
          <w:sz w:val="26"/>
          <w:szCs w:val="26"/>
        </w:rPr>
      </w:pP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Conocimiento (y capacidad de traducir este conocimiento) de la preparación sostenible de alimentos, recetas y menús.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Garamond" w:cs="Garamond" w:eastAsia="Garamond" w:hAnsi="Garamond"/>
          <w:sz w:val="26"/>
          <w:szCs w:val="26"/>
        </w:rPr>
      </w:pP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Conocimiento de regulaciones locales, estatales y federales sobre estándares nutricionales en servicios escolares, pautas dietéticas y requisitos de informes.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Garamond" w:cs="Garamond" w:eastAsia="Garamond" w:hAnsi="Garamond"/>
          <w:sz w:val="26"/>
          <w:szCs w:val="26"/>
        </w:rPr>
      </w:pP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Conocimiento de gestión y mantenimiento de instalaciones: diseño de instalaciones, especificaciones de alimentos y equipos, operación de almacenes e instalaciones de producción central, análisis de pérdidas y ganancias y procedimientos de adquisición.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Garamond" w:cs="Garamond" w:eastAsia="Garamond" w:hAnsi="Garamond"/>
          <w:sz w:val="26"/>
          <w:szCs w:val="26"/>
        </w:rPr>
      </w:pP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Conocimiento de aplicaciones informáticas técnicas incluyendo Microsoft Word, Excel, Access, Outlook, y conocimiento práctico de sistemas de software de servicios de alimentos K-12, incluidos módulos de gestión de aplicaciones, punto de venta y administración de oficina (nivel avanzado).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Garamond" w:cs="Garamond" w:eastAsia="Garamond" w:hAnsi="Garamond"/>
          <w:sz w:val="26"/>
          <w:szCs w:val="26"/>
        </w:rPr>
      </w:pP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Conocimiento de todas las políticas, leyes y pautas de salud, saneamiento y seguridad a nivel federal, estatal y municipal relacionadas con la preparación de alimentos.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Garamond" w:cs="Garamond" w:eastAsia="Garamond" w:hAnsi="Garamond"/>
          <w:sz w:val="26"/>
          <w:szCs w:val="26"/>
        </w:rPr>
      </w:pP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Capacidad para dirigir, liderar y comunicar.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Garamond" w:cs="Garamond" w:eastAsia="Garamond" w:hAnsi="Garamond"/>
          <w:sz w:val="26"/>
          <w:szCs w:val="26"/>
        </w:rPr>
      </w:pP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Capacidad para trabajar con asociaciones comunitarias diversas.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Garamond" w:cs="Garamond" w:eastAsia="Garamond" w:hAnsi="Garamond"/>
          <w:sz w:val="26"/>
          <w:szCs w:val="26"/>
        </w:rPr>
      </w:pP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Capacidad para supervisar y capacitar.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Garamond" w:cs="Garamond" w:eastAsia="Garamond" w:hAnsi="Garamond"/>
          <w:sz w:val="26"/>
          <w:szCs w:val="26"/>
        </w:rPr>
      </w:pP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Capacidad para administrar el mantenimiento a nivel distrital.</w:t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spacing w:after="240" w:before="0" w:beforeAutospacing="0" w:lineRule="auto"/>
        <w:ind w:left="720" w:hanging="360"/>
        <w:rPr>
          <w:rFonts w:ascii="Garamond" w:cs="Garamond" w:eastAsia="Garamond" w:hAnsi="Garamond"/>
          <w:sz w:val="26"/>
          <w:szCs w:val="26"/>
        </w:rPr>
      </w:pP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Capacidad para preparar y administrar presupuestos e informes.</w:t>
      </w:r>
    </w:p>
    <w:p w:rsidR="00000000" w:rsidDel="00000000" w:rsidP="00000000" w:rsidRDefault="00000000" w:rsidRPr="00000000" w14:paraId="00000033">
      <w:pPr>
        <w:rPr>
          <w:rFonts w:ascii="Garamond" w:cs="Garamond" w:eastAsia="Garamond" w:hAnsi="Garamon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3"/>
        <w:keepNext w:val="0"/>
        <w:keepLines w:val="0"/>
        <w:rPr>
          <w:rFonts w:ascii="Garamond" w:cs="Garamond" w:eastAsia="Garamond" w:hAnsi="Garamond"/>
          <w:u w:val="single"/>
        </w:rPr>
      </w:pPr>
      <w:bookmarkStart w:colFirst="0" w:colLast="0" w:name="_6py689b6zde7" w:id="5"/>
      <w:bookmarkEnd w:id="5"/>
      <w:r w:rsidDel="00000000" w:rsidR="00000000" w:rsidRPr="00000000">
        <w:rPr>
          <w:rFonts w:ascii="Garamond" w:cs="Garamond" w:eastAsia="Garamond" w:hAnsi="Garamond"/>
          <w:u w:val="single"/>
          <w:rtl w:val="0"/>
        </w:rPr>
        <w:t xml:space="preserve">Demandas Físicas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Garamond" w:cs="Garamond" w:eastAsia="Garamond" w:hAnsi="Garamond"/>
          <w:sz w:val="26"/>
          <w:szCs w:val="26"/>
        </w:rPr>
      </w:pP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Capacidad para oler, saborear y sentir con el fin de determinar la calidad de los alimentos crudos y preparados.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Garamond" w:cs="Garamond" w:eastAsia="Garamond" w:hAnsi="Garamond"/>
          <w:sz w:val="26"/>
          <w:szCs w:val="26"/>
        </w:rPr>
      </w:pP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Capacidad para trabajar con interrupciones frecuentes y supervisar simultáneamente diversas tareas.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Garamond" w:cs="Garamond" w:eastAsia="Garamond" w:hAnsi="Garamond"/>
          <w:sz w:val="26"/>
          <w:szCs w:val="26"/>
        </w:rPr>
      </w:pP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Capacidad para permanecer de pie, inclinarse, alcanzar y doblarse; movilidad en los brazos para alcanzar, destreza en las manos para manipular objetos grandes y pequeños.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Garamond" w:cs="Garamond" w:eastAsia="Garamond" w:hAnsi="Garamond"/>
          <w:sz w:val="26"/>
          <w:szCs w:val="26"/>
        </w:rPr>
      </w:pP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Capacidad para leer letras pequeñas.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Garamond" w:cs="Garamond" w:eastAsia="Garamond" w:hAnsi="Garamond"/>
          <w:sz w:val="26"/>
          <w:szCs w:val="26"/>
        </w:rPr>
      </w:pP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Capacidad para permanecer de pie durante largos periodos.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Garamond" w:cs="Garamond" w:eastAsia="Garamond" w:hAnsi="Garamond"/>
          <w:sz w:val="26"/>
          <w:szCs w:val="26"/>
        </w:rPr>
      </w:pP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Capacidad para caminar largas distancias.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Garamond" w:cs="Garamond" w:eastAsia="Garamond" w:hAnsi="Garamond"/>
          <w:sz w:val="26"/>
          <w:szCs w:val="26"/>
        </w:rPr>
      </w:pP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Capacidad para levantar, empujar y/o jalar objetos de hasta aproximadamente 50 libras.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Garamond" w:cs="Garamond" w:eastAsia="Garamond" w:hAnsi="Garamond"/>
          <w:sz w:val="26"/>
          <w:szCs w:val="26"/>
        </w:rPr>
      </w:pP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Capacidad para trabajar cerca de equipos con partes mecánicas en movimiento.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Garamond" w:cs="Garamond" w:eastAsia="Garamond" w:hAnsi="Garamond"/>
          <w:sz w:val="26"/>
          <w:szCs w:val="26"/>
          <w:u w:val="none"/>
        </w:rPr>
      </w:pP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Capacidad para trabajar en entornos interiores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Garamond" w:cs="Garamond" w:eastAsia="Garamond" w:hAnsi="Garamond"/>
          <w:sz w:val="26"/>
          <w:szCs w:val="26"/>
          <w:u w:val="none"/>
        </w:rPr>
      </w:pP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Podría ser necesario trabajar en entornos con ruidos fuertes</w:t>
      </w:r>
    </w:p>
    <w:p w:rsidR="00000000" w:rsidDel="00000000" w:rsidP="00000000" w:rsidRDefault="00000000" w:rsidRPr="00000000" w14:paraId="0000003F">
      <w:pPr>
        <w:pStyle w:val="Heading3"/>
        <w:keepNext w:val="0"/>
        <w:keepLines w:val="0"/>
        <w:rPr>
          <w:rFonts w:ascii="Garamond" w:cs="Garamond" w:eastAsia="Garamond" w:hAnsi="Garamond"/>
          <w:u w:val="single"/>
        </w:rPr>
      </w:pPr>
      <w:bookmarkStart w:colFirst="0" w:colLast="0" w:name="_rk3cajtqtd0x" w:id="6"/>
      <w:bookmarkEnd w:id="6"/>
      <w:r w:rsidDel="00000000" w:rsidR="00000000" w:rsidRPr="00000000">
        <w:rPr>
          <w:rFonts w:ascii="Garamond" w:cs="Garamond" w:eastAsia="Garamond" w:hAnsi="Garamond"/>
          <w:u w:val="single"/>
          <w:rtl w:val="0"/>
        </w:rPr>
        <w:t xml:space="preserve">Ambiente de Trabajo</w:t>
      </w:r>
    </w:p>
    <w:p w:rsidR="00000000" w:rsidDel="00000000" w:rsidP="00000000" w:rsidRDefault="00000000" w:rsidRPr="00000000" w14:paraId="00000040">
      <w:pPr>
        <w:spacing w:after="240" w:before="240" w:lineRule="auto"/>
        <w:rPr>
          <w:rFonts w:ascii="Garamond" w:cs="Garamond" w:eastAsia="Garamond" w:hAnsi="Garamond"/>
          <w:sz w:val="26"/>
          <w:szCs w:val="26"/>
        </w:rPr>
      </w:pP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No se expone sustancialmente a condiciones ambientales adversas.</w:t>
      </w:r>
    </w:p>
    <w:p w:rsidR="00000000" w:rsidDel="00000000" w:rsidP="00000000" w:rsidRDefault="00000000" w:rsidRPr="00000000" w14:paraId="00000041">
      <w:pPr>
        <w:rPr>
          <w:rFonts w:ascii="Garamond" w:cs="Garamond" w:eastAsia="Garamond" w:hAnsi="Garamon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240" w:before="240" w:lineRule="auto"/>
        <w:rPr>
          <w:rFonts w:ascii="Garamond" w:cs="Garamond" w:eastAsia="Garamond" w:hAnsi="Garamond"/>
          <w:sz w:val="26"/>
          <w:szCs w:val="26"/>
        </w:rPr>
      </w:pPr>
      <w:r w:rsidDel="00000000" w:rsidR="00000000" w:rsidRPr="00000000">
        <w:rPr>
          <w:rFonts w:ascii="Garamond" w:cs="Garamond" w:eastAsia="Garamond" w:hAnsi="Garamond"/>
          <w:b w:val="1"/>
          <w:sz w:val="26"/>
          <w:szCs w:val="26"/>
          <w:rtl w:val="0"/>
        </w:rPr>
        <w:t xml:space="preserve">Nota:</w:t>
      </w: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 Lo anterior está destinado a describir el contenido esencial y los requisitos para el desempeño de este puesto. No debe interpretarse como una declaración exhaustiva de deberes, responsabilidades o requisitos.</w:t>
      </w:r>
    </w:p>
    <w:p w:rsidR="00000000" w:rsidDel="00000000" w:rsidP="00000000" w:rsidRDefault="00000000" w:rsidRPr="00000000" w14:paraId="00000043">
      <w:pPr>
        <w:rPr>
          <w:rFonts w:ascii="Garamond" w:cs="Garamond" w:eastAsia="Garamond" w:hAnsi="Garamond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Garamond" w:cs="Garamond" w:eastAsia="Garamond" w:hAnsi="Garamond"/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footerReference r:id="rId8" w:type="even"/>
      <w:pgSz w:h="15840" w:w="12240" w:orient="portrait"/>
      <w:pgMar w:bottom="1152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Times New Roman"/>
  <w:font w:name="Georgi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oppi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36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36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Poppins" w:cs="Poppins" w:eastAsia="Poppins" w:hAnsi="Poppins"/>
        <w:b w:val="1"/>
        <w:i w:val="0"/>
        <w:smallCaps w:val="0"/>
        <w:strike w:val="0"/>
        <w:color w:val="e36c09"/>
        <w:sz w:val="26"/>
        <w:szCs w:val="26"/>
        <w:u w:val="none"/>
        <w:shd w:fill="auto" w:val="clear"/>
        <w:vertAlign w:val="baseline"/>
        <w:rtl w:val="0"/>
      </w:rPr>
      <w:t xml:space="preserve">www.thelunchbox.org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4800600</wp:posOffset>
          </wp:positionH>
          <wp:positionV relativeFrom="margin">
            <wp:posOffset>-800099</wp:posOffset>
          </wp:positionV>
          <wp:extent cx="1868805" cy="1023620"/>
          <wp:effectExtent b="0" l="0" r="0" t="0"/>
          <wp:wrapSquare wrapText="bothSides" distB="0" distT="0" distL="114300" distR="114300"/>
          <wp:docPr descr="Macintosh HD:Users:Erica:Desktop:TheLunchBox_Orange_wTaglineProgramline.jpg" id="1" name="image1.jpg"/>
          <a:graphic>
            <a:graphicData uri="http://schemas.openxmlformats.org/drawingml/2006/picture">
              <pic:pic>
                <pic:nvPicPr>
                  <pic:cNvPr descr="Macintosh HD:Users:Erica:Desktop:TheLunchBox_Orange_wTaglineProgramline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8805" cy="102362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ind w:left="100"/>
    </w:pPr>
    <w:rPr>
      <w:rFonts w:ascii="Times New Roman" w:cs="Times New Roman" w:eastAsia="Times New Roman" w:hAnsi="Times New Roman"/>
      <w:b w:val="1"/>
      <w:sz w:val="20"/>
      <w:szCs w:val="20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Poppins-regular.ttf"/><Relationship Id="rId6" Type="http://schemas.openxmlformats.org/officeDocument/2006/relationships/font" Target="fonts/Poppins-bold.ttf"/><Relationship Id="rId7" Type="http://schemas.openxmlformats.org/officeDocument/2006/relationships/font" Target="fonts/Poppins-italic.ttf"/><Relationship Id="rId8" Type="http://schemas.openxmlformats.org/officeDocument/2006/relationships/font" Target="fonts/Poppi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