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D1" w:rsidRDefault="007E7A10" w:rsidP="007E7A10">
      <w:pPr>
        <w:jc w:val="center"/>
        <w:rPr>
          <w:rFonts w:cs="David" w:hint="cs"/>
          <w:b/>
          <w:bCs/>
          <w:sz w:val="28"/>
          <w:szCs w:val="28"/>
          <w:rtl/>
        </w:rPr>
      </w:pPr>
      <w:r>
        <w:rPr>
          <w:rFonts w:cs="David" w:hint="cs"/>
          <w:b/>
          <w:bCs/>
          <w:sz w:val="28"/>
          <w:szCs w:val="28"/>
          <w:rtl/>
        </w:rPr>
        <w:t xml:space="preserve">ויקרא </w:t>
      </w:r>
      <w:proofErr w:type="spellStart"/>
      <w:r>
        <w:rPr>
          <w:rFonts w:cs="David" w:hint="cs"/>
          <w:b/>
          <w:bCs/>
          <w:sz w:val="28"/>
          <w:szCs w:val="28"/>
          <w:rtl/>
        </w:rPr>
        <w:t>טז</w:t>
      </w:r>
      <w:proofErr w:type="spellEnd"/>
      <w:r>
        <w:rPr>
          <w:rFonts w:cs="David" w:hint="cs"/>
          <w:b/>
          <w:bCs/>
          <w:sz w:val="28"/>
          <w:szCs w:val="28"/>
          <w:rtl/>
        </w:rPr>
        <w:t xml:space="preserve">-כ: </w:t>
      </w:r>
      <w:r w:rsidR="0082284F">
        <w:rPr>
          <w:rFonts w:cs="David" w:hint="cs"/>
          <w:b/>
          <w:bCs/>
          <w:sz w:val="28"/>
          <w:szCs w:val="28"/>
          <w:rtl/>
        </w:rPr>
        <w:t>קדושה</w:t>
      </w:r>
      <w:r>
        <w:rPr>
          <w:rFonts w:cs="David" w:hint="cs"/>
          <w:b/>
          <w:bCs/>
          <w:sz w:val="28"/>
          <w:szCs w:val="28"/>
          <w:rtl/>
        </w:rPr>
        <w:t xml:space="preserve"> -</w:t>
      </w:r>
      <w:r w:rsidR="0082284F">
        <w:rPr>
          <w:rFonts w:cs="David" w:hint="cs"/>
          <w:b/>
          <w:bCs/>
          <w:sz w:val="28"/>
          <w:szCs w:val="28"/>
          <w:rtl/>
        </w:rPr>
        <w:t xml:space="preserve"> מהות או אתגר? </w:t>
      </w:r>
      <w:r>
        <w:rPr>
          <w:rFonts w:cs="David" w:hint="cs"/>
          <w:b/>
          <w:bCs/>
          <w:sz w:val="28"/>
          <w:szCs w:val="28"/>
          <w:rtl/>
        </w:rPr>
        <w:t xml:space="preserve">לרגל </w:t>
      </w:r>
      <w:r w:rsidR="004268D1" w:rsidRPr="000901AC">
        <w:rPr>
          <w:rFonts w:cs="David" w:hint="cs"/>
          <w:b/>
          <w:bCs/>
          <w:sz w:val="28"/>
          <w:szCs w:val="28"/>
          <w:rtl/>
        </w:rPr>
        <w:t>יום ירושלים וחג השבועות</w:t>
      </w:r>
    </w:p>
    <w:p w:rsidR="00C71F89" w:rsidRPr="009D3CE4" w:rsidRDefault="00C71F89" w:rsidP="007E7A10">
      <w:pPr>
        <w:jc w:val="center"/>
        <w:rPr>
          <w:rFonts w:cs="David"/>
          <w:b/>
          <w:bCs/>
          <w:sz w:val="26"/>
          <w:szCs w:val="26"/>
          <w:rtl/>
        </w:rPr>
      </w:pPr>
      <w:r w:rsidRPr="009D3CE4">
        <w:rPr>
          <w:rFonts w:cs="David" w:hint="cs"/>
          <w:b/>
          <w:bCs/>
          <w:sz w:val="26"/>
          <w:szCs w:val="26"/>
          <w:rtl/>
        </w:rPr>
        <w:t xml:space="preserve">ד"ר אליזבט </w:t>
      </w:r>
      <w:proofErr w:type="spellStart"/>
      <w:r w:rsidRPr="009D3CE4">
        <w:rPr>
          <w:rFonts w:cs="David" w:hint="cs"/>
          <w:b/>
          <w:bCs/>
          <w:sz w:val="26"/>
          <w:szCs w:val="26"/>
          <w:rtl/>
        </w:rPr>
        <w:t>גולדוין</w:t>
      </w:r>
      <w:proofErr w:type="spellEnd"/>
    </w:p>
    <w:p w:rsidR="007E7A10" w:rsidRDefault="007E7A10" w:rsidP="007E7A10">
      <w:pPr>
        <w:jc w:val="center"/>
        <w:rPr>
          <w:rFonts w:cs="David"/>
          <w:b/>
          <w:bCs/>
          <w:sz w:val="28"/>
          <w:szCs w:val="28"/>
          <w:rtl/>
        </w:rPr>
      </w:pPr>
      <w:r>
        <w:rPr>
          <w:rFonts w:cs="David" w:hint="cs"/>
          <w:b/>
          <w:bCs/>
          <w:sz w:val="28"/>
          <w:szCs w:val="28"/>
          <w:rtl/>
        </w:rPr>
        <w:t>דף למנחה</w:t>
      </w:r>
    </w:p>
    <w:p w:rsidR="007E7A10" w:rsidRDefault="007E7A10" w:rsidP="00212CD6">
      <w:pPr>
        <w:spacing w:line="360" w:lineRule="auto"/>
        <w:rPr>
          <w:rFonts w:cs="David"/>
          <w:b/>
          <w:bCs/>
          <w:sz w:val="28"/>
          <w:szCs w:val="28"/>
          <w:rtl/>
        </w:rPr>
      </w:pPr>
    </w:p>
    <w:p w:rsidR="004268D1" w:rsidRDefault="004268D1" w:rsidP="00C71F89">
      <w:pPr>
        <w:spacing w:line="360" w:lineRule="auto"/>
        <w:rPr>
          <w:rFonts w:cs="David"/>
          <w:sz w:val="28"/>
          <w:szCs w:val="28"/>
          <w:rtl/>
        </w:rPr>
      </w:pPr>
      <w:r w:rsidRPr="000901AC">
        <w:rPr>
          <w:rFonts w:cs="David" w:hint="cs"/>
          <w:sz w:val="28"/>
          <w:szCs w:val="28"/>
          <w:rtl/>
        </w:rPr>
        <w:t xml:space="preserve">לכבוד יום ירושלים, חג השבועות הקרב ופרשת קדושים (ויקרא </w:t>
      </w:r>
      <w:proofErr w:type="spellStart"/>
      <w:r w:rsidRPr="000901AC">
        <w:rPr>
          <w:rFonts w:cs="David" w:hint="cs"/>
          <w:sz w:val="28"/>
          <w:szCs w:val="28"/>
          <w:rtl/>
        </w:rPr>
        <w:t>יט</w:t>
      </w:r>
      <w:proofErr w:type="spellEnd"/>
      <w:r w:rsidRPr="000901AC">
        <w:rPr>
          <w:rFonts w:cs="David" w:hint="cs"/>
          <w:sz w:val="28"/>
          <w:szCs w:val="28"/>
          <w:rtl/>
        </w:rPr>
        <w:t>) שכלולה בלימוד השבוע</w:t>
      </w:r>
      <w:r w:rsidR="00C5350A">
        <w:rPr>
          <w:rFonts w:cs="David" w:hint="cs"/>
          <w:sz w:val="28"/>
          <w:szCs w:val="28"/>
          <w:rtl/>
        </w:rPr>
        <w:t>י</w:t>
      </w:r>
      <w:r w:rsidRPr="000901AC">
        <w:rPr>
          <w:rFonts w:cs="David" w:hint="cs"/>
          <w:sz w:val="28"/>
          <w:szCs w:val="28"/>
          <w:rtl/>
        </w:rPr>
        <w:t xml:space="preserve"> שלנו, דף זה יעסוק במושג הקדושה. </w:t>
      </w:r>
      <w:r w:rsidR="00C5350A">
        <w:rPr>
          <w:rFonts w:cs="David" w:hint="cs"/>
          <w:sz w:val="28"/>
          <w:szCs w:val="28"/>
          <w:rtl/>
        </w:rPr>
        <w:t>האם ירושלים היא עיר קדושה? האם כיבוש</w:t>
      </w:r>
      <w:r w:rsidR="00C71F89">
        <w:rPr>
          <w:rFonts w:cs="David" w:hint="cs"/>
          <w:sz w:val="28"/>
          <w:szCs w:val="28"/>
          <w:rtl/>
        </w:rPr>
        <w:t xml:space="preserve"> או שחרור</w:t>
      </w:r>
      <w:r w:rsidR="00C5350A">
        <w:rPr>
          <w:rFonts w:cs="David" w:hint="cs"/>
          <w:sz w:val="28"/>
          <w:szCs w:val="28"/>
          <w:rtl/>
        </w:rPr>
        <w:t xml:space="preserve"> העיר העתיקה ומזרח ירושלים בשנת 1967 הן חלק מן ההיסטוריה הקדושה של העם היהודי? האם התורה קדושה עבורנו, ואם כן איזו משמעות יש לקדושה זו? האם חג מתן תורה הוא חג שיש לו משמעות עבורנו? </w:t>
      </w:r>
      <w:r w:rsidR="00131BEC">
        <w:rPr>
          <w:rFonts w:cs="David" w:hint="cs"/>
          <w:sz w:val="28"/>
          <w:szCs w:val="28"/>
          <w:rtl/>
        </w:rPr>
        <w:t xml:space="preserve">שאלות אלו, </w:t>
      </w:r>
      <w:r w:rsidR="00C5350A">
        <w:rPr>
          <w:rFonts w:cs="David" w:hint="cs"/>
          <w:sz w:val="28"/>
          <w:szCs w:val="28"/>
          <w:rtl/>
        </w:rPr>
        <w:t>ביחד עם פרשת קדושים</w:t>
      </w:r>
      <w:r w:rsidR="00131BEC">
        <w:rPr>
          <w:rFonts w:cs="David" w:hint="cs"/>
          <w:sz w:val="28"/>
          <w:szCs w:val="28"/>
          <w:rtl/>
        </w:rPr>
        <w:t>,</w:t>
      </w:r>
      <w:r w:rsidR="00C5350A">
        <w:rPr>
          <w:rFonts w:cs="David" w:hint="cs"/>
          <w:sz w:val="28"/>
          <w:szCs w:val="28"/>
          <w:rtl/>
        </w:rPr>
        <w:t xml:space="preserve"> מתנקזות לסוגיה </w:t>
      </w:r>
      <w:r w:rsidR="00131BEC">
        <w:rPr>
          <w:rFonts w:cs="David" w:hint="cs"/>
          <w:sz w:val="28"/>
          <w:szCs w:val="28"/>
          <w:rtl/>
        </w:rPr>
        <w:t>'</w:t>
      </w:r>
      <w:r w:rsidR="00C5350A">
        <w:rPr>
          <w:rFonts w:cs="David" w:hint="cs"/>
          <w:sz w:val="28"/>
          <w:szCs w:val="28"/>
          <w:rtl/>
        </w:rPr>
        <w:t>מהי קדושה</w:t>
      </w:r>
      <w:r w:rsidR="00131BEC">
        <w:rPr>
          <w:rFonts w:cs="David" w:hint="cs"/>
          <w:sz w:val="28"/>
          <w:szCs w:val="28"/>
          <w:rtl/>
        </w:rPr>
        <w:t>?'</w:t>
      </w:r>
      <w:r w:rsidR="00C5350A">
        <w:rPr>
          <w:rFonts w:cs="David" w:hint="cs"/>
          <w:sz w:val="28"/>
          <w:szCs w:val="28"/>
          <w:rtl/>
        </w:rPr>
        <w:t xml:space="preserve"> ואיזו משמעות יכולה להיות ל</w:t>
      </w:r>
      <w:r w:rsidR="00131BEC">
        <w:rPr>
          <w:rFonts w:cs="David" w:hint="cs"/>
          <w:sz w:val="28"/>
          <w:szCs w:val="28"/>
          <w:rtl/>
        </w:rPr>
        <w:t>קדושה ב</w:t>
      </w:r>
      <w:r w:rsidR="00C5350A">
        <w:rPr>
          <w:rFonts w:cs="David" w:hint="cs"/>
          <w:sz w:val="28"/>
          <w:szCs w:val="28"/>
          <w:rtl/>
        </w:rPr>
        <w:t xml:space="preserve">חיינו. </w:t>
      </w:r>
    </w:p>
    <w:p w:rsidR="00677B1F" w:rsidRDefault="00677B1F" w:rsidP="00F71068">
      <w:pPr>
        <w:spacing w:line="360" w:lineRule="auto"/>
        <w:rPr>
          <w:rFonts w:cs="David"/>
          <w:sz w:val="28"/>
          <w:szCs w:val="28"/>
          <w:rtl/>
        </w:rPr>
      </w:pPr>
      <w:r>
        <w:rPr>
          <w:rFonts w:cs="David" w:hint="cs"/>
          <w:sz w:val="28"/>
          <w:szCs w:val="28"/>
          <w:rtl/>
        </w:rPr>
        <w:t>נושא הקדושה נוכח גם בכל הפרקים שקראנו השבוע</w:t>
      </w:r>
      <w:r w:rsidR="00A14F5E">
        <w:rPr>
          <w:rFonts w:cs="David" w:hint="cs"/>
          <w:sz w:val="28"/>
          <w:szCs w:val="28"/>
          <w:rtl/>
        </w:rPr>
        <w:t xml:space="preserve">: פרק </w:t>
      </w:r>
      <w:proofErr w:type="spellStart"/>
      <w:r w:rsidR="00A14F5E">
        <w:rPr>
          <w:rFonts w:cs="David" w:hint="cs"/>
          <w:sz w:val="28"/>
          <w:szCs w:val="28"/>
          <w:rtl/>
        </w:rPr>
        <w:t>טז</w:t>
      </w:r>
      <w:proofErr w:type="spellEnd"/>
      <w:r w:rsidR="00A14F5E">
        <w:rPr>
          <w:rFonts w:cs="David" w:hint="cs"/>
          <w:sz w:val="28"/>
          <w:szCs w:val="28"/>
          <w:rtl/>
        </w:rPr>
        <w:t xml:space="preserve"> עוסק בקדושת הכוהנים ובפולחן המיוחד של היום הקדוש ביותר בלוח השנה</w:t>
      </w:r>
      <w:r w:rsidR="00131BEC">
        <w:rPr>
          <w:rFonts w:cs="David" w:hint="cs"/>
          <w:sz w:val="28"/>
          <w:szCs w:val="28"/>
          <w:rtl/>
        </w:rPr>
        <w:t xml:space="preserve"> -</w:t>
      </w:r>
      <w:r w:rsidR="00A14F5E">
        <w:rPr>
          <w:rFonts w:cs="David" w:hint="cs"/>
          <w:sz w:val="28"/>
          <w:szCs w:val="28"/>
          <w:rtl/>
        </w:rPr>
        <w:t xml:space="preserve"> יום הכיפורים</w:t>
      </w:r>
      <w:r w:rsidR="00131BEC">
        <w:rPr>
          <w:rFonts w:cs="David" w:hint="cs"/>
          <w:sz w:val="28"/>
          <w:szCs w:val="28"/>
          <w:rtl/>
        </w:rPr>
        <w:t>;</w:t>
      </w:r>
      <w:r w:rsidR="00A14F5E">
        <w:rPr>
          <w:rFonts w:cs="David" w:hint="cs"/>
          <w:sz w:val="28"/>
          <w:szCs w:val="28"/>
          <w:rtl/>
        </w:rPr>
        <w:t xml:space="preserve"> במקום הקדוש ביותר במדבר </w:t>
      </w:r>
      <w:r w:rsidR="00131BEC">
        <w:rPr>
          <w:rFonts w:cs="David"/>
          <w:sz w:val="28"/>
          <w:szCs w:val="28"/>
          <w:rtl/>
        </w:rPr>
        <w:t>–</w:t>
      </w:r>
      <w:r w:rsidR="00131BEC">
        <w:rPr>
          <w:rFonts w:cs="David" w:hint="cs"/>
          <w:sz w:val="28"/>
          <w:szCs w:val="28"/>
          <w:rtl/>
        </w:rPr>
        <w:t xml:space="preserve"> המשכן. </w:t>
      </w:r>
      <w:r w:rsidR="00A14F5E">
        <w:rPr>
          <w:rFonts w:cs="David" w:hint="cs"/>
          <w:sz w:val="28"/>
          <w:szCs w:val="28"/>
          <w:rtl/>
        </w:rPr>
        <w:t xml:space="preserve">בפרק </w:t>
      </w:r>
      <w:proofErr w:type="spellStart"/>
      <w:r w:rsidR="00A14F5E">
        <w:rPr>
          <w:rFonts w:cs="David" w:hint="cs"/>
          <w:sz w:val="28"/>
          <w:szCs w:val="28"/>
          <w:rtl/>
        </w:rPr>
        <w:t>יז</w:t>
      </w:r>
      <w:proofErr w:type="spellEnd"/>
      <w:r w:rsidR="00A14F5E">
        <w:rPr>
          <w:rFonts w:cs="David" w:hint="cs"/>
          <w:sz w:val="28"/>
          <w:szCs w:val="28"/>
          <w:rtl/>
        </w:rPr>
        <w:t xml:space="preserve"> מצווים בני ישראל להביא כל בשר שבכוונתם לאכול א</w:t>
      </w:r>
      <w:r w:rsidR="00496E1C">
        <w:rPr>
          <w:rFonts w:cs="David" w:hint="cs"/>
          <w:sz w:val="28"/>
          <w:szCs w:val="28"/>
          <w:rtl/>
        </w:rPr>
        <w:t>ל</w:t>
      </w:r>
      <w:r w:rsidR="00A14F5E">
        <w:rPr>
          <w:rFonts w:cs="David" w:hint="cs"/>
          <w:sz w:val="28"/>
          <w:szCs w:val="28"/>
          <w:rtl/>
        </w:rPr>
        <w:t xml:space="preserve"> המשכן לתהליך הקרבת הדם שלו </w:t>
      </w:r>
      <w:r w:rsidR="00A14F5E">
        <w:rPr>
          <w:rFonts w:cs="David"/>
          <w:sz w:val="28"/>
          <w:szCs w:val="28"/>
          <w:rtl/>
        </w:rPr>
        <w:t>–</w:t>
      </w:r>
      <w:r w:rsidR="00A14F5E">
        <w:rPr>
          <w:rFonts w:cs="David" w:hint="cs"/>
          <w:sz w:val="28"/>
          <w:szCs w:val="28"/>
          <w:rtl/>
        </w:rPr>
        <w:t xml:space="preserve"> תהליך המקדש אותו והופך את בעל החיים למותר לאכילה. </w:t>
      </w:r>
      <w:r w:rsidR="00131BEC">
        <w:rPr>
          <w:rFonts w:cs="David" w:hint="cs"/>
          <w:sz w:val="28"/>
          <w:szCs w:val="28"/>
          <w:rtl/>
        </w:rPr>
        <w:t>ה</w:t>
      </w:r>
      <w:r w:rsidR="00A14F5E">
        <w:rPr>
          <w:rFonts w:cs="David" w:hint="cs"/>
          <w:sz w:val="28"/>
          <w:szCs w:val="28"/>
          <w:rtl/>
        </w:rPr>
        <w:t>דם נאסר באכילה ו</w:t>
      </w:r>
      <w:r w:rsidR="00496E1C">
        <w:rPr>
          <w:rFonts w:cs="David" w:hint="cs"/>
          <w:sz w:val="28"/>
          <w:szCs w:val="28"/>
          <w:rtl/>
        </w:rPr>
        <w:t>מי ש</w:t>
      </w:r>
      <w:r w:rsidR="00A14F5E">
        <w:rPr>
          <w:rFonts w:cs="David" w:hint="cs"/>
          <w:sz w:val="28"/>
          <w:szCs w:val="28"/>
          <w:rtl/>
        </w:rPr>
        <w:t xml:space="preserve">אוכל נבלה וטרפה חייב בהיטהרות. איסורי גילוי עריות המופיעים בפרק </w:t>
      </w:r>
      <w:proofErr w:type="spellStart"/>
      <w:r w:rsidR="00A14F5E">
        <w:rPr>
          <w:rFonts w:cs="David" w:hint="cs"/>
          <w:sz w:val="28"/>
          <w:szCs w:val="28"/>
          <w:rtl/>
        </w:rPr>
        <w:t>יח</w:t>
      </w:r>
      <w:proofErr w:type="spellEnd"/>
      <w:r w:rsidR="00A14F5E">
        <w:rPr>
          <w:rFonts w:cs="David" w:hint="cs"/>
          <w:sz w:val="28"/>
          <w:szCs w:val="28"/>
          <w:rtl/>
        </w:rPr>
        <w:t xml:space="preserve"> ושוב בפרק כ הם איסורי</w:t>
      </w:r>
      <w:r w:rsidR="00496E1C">
        <w:rPr>
          <w:rFonts w:cs="David" w:hint="cs"/>
          <w:sz w:val="28"/>
          <w:szCs w:val="28"/>
          <w:rtl/>
        </w:rPr>
        <w:t>ם</w:t>
      </w:r>
      <w:r w:rsidR="00A14F5E">
        <w:rPr>
          <w:rFonts w:cs="David" w:hint="cs"/>
          <w:sz w:val="28"/>
          <w:szCs w:val="28"/>
          <w:rtl/>
        </w:rPr>
        <w:t xml:space="preserve"> האמורים לייחד את העם היהודי משאר יושבי הארץ </w:t>
      </w:r>
      <w:r w:rsidR="00131BEC">
        <w:rPr>
          <w:rFonts w:cs="David"/>
          <w:sz w:val="28"/>
          <w:szCs w:val="28"/>
          <w:rtl/>
        </w:rPr>
        <w:t>–</w:t>
      </w:r>
      <w:r w:rsidR="00131BEC">
        <w:rPr>
          <w:rFonts w:cs="David" w:hint="cs"/>
          <w:sz w:val="28"/>
          <w:szCs w:val="28"/>
          <w:rtl/>
        </w:rPr>
        <w:t xml:space="preserve"> לקדש אותם, ולחלופין </w:t>
      </w:r>
      <w:r w:rsidR="00131BEC">
        <w:rPr>
          <w:rFonts w:cs="David"/>
          <w:sz w:val="28"/>
          <w:szCs w:val="28"/>
          <w:rtl/>
        </w:rPr>
        <w:t>–</w:t>
      </w:r>
      <w:r w:rsidR="00131BEC">
        <w:rPr>
          <w:rFonts w:cs="David" w:hint="cs"/>
          <w:sz w:val="28"/>
          <w:szCs w:val="28"/>
          <w:rtl/>
        </w:rPr>
        <w:t xml:space="preserve"> אם יעברו עליהם </w:t>
      </w:r>
      <w:r w:rsidR="00131BEC">
        <w:rPr>
          <w:rFonts w:cs="David"/>
          <w:sz w:val="28"/>
          <w:szCs w:val="28"/>
          <w:rtl/>
        </w:rPr>
        <w:t>–</w:t>
      </w:r>
      <w:r w:rsidR="00131BEC">
        <w:rPr>
          <w:rFonts w:cs="David" w:hint="cs"/>
          <w:sz w:val="28"/>
          <w:szCs w:val="28"/>
          <w:rtl/>
        </w:rPr>
        <w:t xml:space="preserve"> לטמא אותם עד כדי </w:t>
      </w:r>
      <w:r w:rsidR="00F71068">
        <w:rPr>
          <w:rFonts w:cs="David" w:hint="cs"/>
          <w:sz w:val="28"/>
          <w:szCs w:val="28"/>
          <w:rtl/>
        </w:rPr>
        <w:t xml:space="preserve">כך שהארץ תקיא אותם: </w:t>
      </w:r>
      <w:r w:rsidR="00A14F5E">
        <w:rPr>
          <w:rFonts w:cs="David" w:hint="cs"/>
          <w:sz w:val="28"/>
          <w:szCs w:val="28"/>
          <w:rtl/>
        </w:rPr>
        <w:t xml:space="preserve">  </w:t>
      </w:r>
    </w:p>
    <w:p w:rsidR="00A14F5E" w:rsidRPr="00A14F5E" w:rsidRDefault="00A14F5E" w:rsidP="00F71068">
      <w:pPr>
        <w:spacing w:line="360" w:lineRule="auto"/>
        <w:rPr>
          <w:rFonts w:cs="David"/>
          <w:sz w:val="28"/>
          <w:szCs w:val="28"/>
          <w:rtl/>
        </w:rPr>
      </w:pPr>
      <w:r w:rsidRPr="00A14F5E">
        <w:rPr>
          <w:rStyle w:val="psk1"/>
          <w:rFonts w:ascii="Arial" w:hAnsi="Arial" w:hint="default"/>
          <w:b/>
          <w:bCs/>
          <w:sz w:val="28"/>
          <w:szCs w:val="28"/>
          <w:rtl/>
        </w:rPr>
        <w:t>"</w:t>
      </w:r>
      <w:r w:rsidRPr="00A14F5E">
        <w:rPr>
          <w:rFonts w:ascii="Arial" w:hAnsi="Arial" w:cs="David" w:hint="cs"/>
          <w:sz w:val="28"/>
          <w:szCs w:val="28"/>
          <w:rtl/>
        </w:rPr>
        <w:t xml:space="preserve">כִּי אֶת כָּל </w:t>
      </w:r>
      <w:proofErr w:type="spellStart"/>
      <w:r w:rsidRPr="00A14F5E">
        <w:rPr>
          <w:rFonts w:ascii="Arial" w:hAnsi="Arial" w:cs="David" w:hint="cs"/>
          <w:sz w:val="28"/>
          <w:szCs w:val="28"/>
          <w:rtl/>
        </w:rPr>
        <w:t>הַתּוֹ</w:t>
      </w:r>
      <w:proofErr w:type="spellEnd"/>
      <w:r w:rsidRPr="00A14F5E">
        <w:rPr>
          <w:rFonts w:ascii="Arial" w:hAnsi="Arial" w:cs="David" w:hint="cs"/>
          <w:sz w:val="28"/>
          <w:szCs w:val="28"/>
          <w:rtl/>
        </w:rPr>
        <w:t>עֵבֹת הָאֵל עָשׂ</w:t>
      </w:r>
      <w:proofErr w:type="spellStart"/>
      <w:r w:rsidRPr="00A14F5E">
        <w:rPr>
          <w:rFonts w:ascii="Arial" w:hAnsi="Arial" w:cs="David" w:hint="cs"/>
          <w:sz w:val="28"/>
          <w:szCs w:val="28"/>
          <w:rtl/>
        </w:rPr>
        <w:t>וּ</w:t>
      </w:r>
      <w:proofErr w:type="spellEnd"/>
      <w:r w:rsidRPr="00A14F5E">
        <w:rPr>
          <w:rFonts w:ascii="Arial" w:hAnsi="Arial" w:cs="David" w:hint="cs"/>
          <w:sz w:val="28"/>
          <w:szCs w:val="28"/>
          <w:rtl/>
        </w:rPr>
        <w:t xml:space="preserve"> אַנְשֵׁי הָאָרֶץ אֲשׁ</w:t>
      </w:r>
      <w:proofErr w:type="spellStart"/>
      <w:r w:rsidRPr="00A14F5E">
        <w:rPr>
          <w:rFonts w:ascii="Arial" w:hAnsi="Arial" w:cs="David" w:hint="cs"/>
          <w:sz w:val="28"/>
          <w:szCs w:val="28"/>
          <w:rtl/>
        </w:rPr>
        <w:t>ֶר</w:t>
      </w:r>
      <w:proofErr w:type="spellEnd"/>
      <w:r w:rsidRPr="00A14F5E">
        <w:rPr>
          <w:rFonts w:ascii="Arial" w:hAnsi="Arial" w:cs="David" w:hint="cs"/>
          <w:sz w:val="28"/>
          <w:szCs w:val="28"/>
          <w:rtl/>
        </w:rPr>
        <w:t xml:space="preserve"> לִפְנֵי</w:t>
      </w:r>
      <w:proofErr w:type="spellStart"/>
      <w:r w:rsidRPr="00A14F5E">
        <w:rPr>
          <w:rFonts w:ascii="Arial" w:hAnsi="Arial" w:cs="David" w:hint="cs"/>
          <w:sz w:val="28"/>
          <w:szCs w:val="28"/>
          <w:rtl/>
        </w:rPr>
        <w:t>כֶם</w:t>
      </w:r>
      <w:proofErr w:type="spellEnd"/>
      <w:r w:rsidRPr="00A14F5E">
        <w:rPr>
          <w:rFonts w:ascii="Arial" w:hAnsi="Arial" w:cs="David" w:hint="cs"/>
          <w:sz w:val="28"/>
          <w:szCs w:val="28"/>
          <w:rtl/>
        </w:rPr>
        <w:t xml:space="preserve"> וַתִּטְמָא הָאָרֶץ.  </w:t>
      </w:r>
      <w:bookmarkStart w:id="0" w:name="28"/>
      <w:bookmarkEnd w:id="0"/>
      <w:r w:rsidRPr="00A14F5E">
        <w:rPr>
          <w:rFonts w:ascii="Arial" w:hAnsi="Arial" w:cs="David" w:hint="cs"/>
          <w:sz w:val="28"/>
          <w:szCs w:val="28"/>
          <w:rtl/>
        </w:rPr>
        <w:t>וְלֹא תָקִיא הָאָרֶץ אֶתְכ</w:t>
      </w:r>
      <w:proofErr w:type="spellStart"/>
      <w:r w:rsidRPr="00A14F5E">
        <w:rPr>
          <w:rFonts w:ascii="Arial" w:hAnsi="Arial" w:cs="David" w:hint="cs"/>
          <w:sz w:val="28"/>
          <w:szCs w:val="28"/>
          <w:rtl/>
        </w:rPr>
        <w:t>ֶם</w:t>
      </w:r>
      <w:proofErr w:type="spellEnd"/>
      <w:r w:rsidRPr="00A14F5E">
        <w:rPr>
          <w:rFonts w:ascii="Arial" w:hAnsi="Arial" w:cs="David" w:hint="cs"/>
          <w:sz w:val="28"/>
          <w:szCs w:val="28"/>
          <w:rtl/>
        </w:rPr>
        <w:t xml:space="preserve"> בְּטַמַּאֲכ</w:t>
      </w:r>
      <w:proofErr w:type="spellStart"/>
      <w:r w:rsidRPr="00A14F5E">
        <w:rPr>
          <w:rFonts w:ascii="Arial" w:hAnsi="Arial" w:cs="David" w:hint="cs"/>
          <w:sz w:val="28"/>
          <w:szCs w:val="28"/>
          <w:rtl/>
        </w:rPr>
        <w:t>ֶם</w:t>
      </w:r>
      <w:proofErr w:type="spellEnd"/>
      <w:r w:rsidRPr="00A14F5E">
        <w:rPr>
          <w:rFonts w:ascii="Arial" w:hAnsi="Arial" w:cs="David" w:hint="cs"/>
          <w:sz w:val="28"/>
          <w:szCs w:val="28"/>
          <w:rtl/>
        </w:rPr>
        <w:t xml:space="preserve"> אֹתָ</w:t>
      </w:r>
      <w:proofErr w:type="spellStart"/>
      <w:r w:rsidRPr="00A14F5E">
        <w:rPr>
          <w:rFonts w:ascii="Arial" w:hAnsi="Arial" w:cs="David" w:hint="cs"/>
          <w:sz w:val="28"/>
          <w:szCs w:val="28"/>
          <w:rtl/>
        </w:rPr>
        <w:t>הּ</w:t>
      </w:r>
      <w:proofErr w:type="spellEnd"/>
      <w:r w:rsidRPr="00A14F5E">
        <w:rPr>
          <w:rFonts w:ascii="Arial" w:hAnsi="Arial" w:cs="David" w:hint="cs"/>
          <w:sz w:val="28"/>
          <w:szCs w:val="28"/>
          <w:rtl/>
        </w:rPr>
        <w:t xml:space="preserve"> כַּאֲ</w:t>
      </w:r>
      <w:proofErr w:type="spellStart"/>
      <w:r w:rsidRPr="00A14F5E">
        <w:rPr>
          <w:rFonts w:ascii="Arial" w:hAnsi="Arial" w:cs="David" w:hint="cs"/>
          <w:sz w:val="28"/>
          <w:szCs w:val="28"/>
          <w:rtl/>
        </w:rPr>
        <w:t>שֶׁ</w:t>
      </w:r>
      <w:proofErr w:type="spellEnd"/>
      <w:r w:rsidRPr="00A14F5E">
        <w:rPr>
          <w:rFonts w:ascii="Arial" w:hAnsi="Arial" w:cs="David" w:hint="cs"/>
          <w:sz w:val="28"/>
          <w:szCs w:val="28"/>
          <w:rtl/>
        </w:rPr>
        <w:t xml:space="preserve">ר </w:t>
      </w:r>
      <w:proofErr w:type="spellStart"/>
      <w:r w:rsidRPr="00A14F5E">
        <w:rPr>
          <w:rFonts w:ascii="Arial" w:hAnsi="Arial" w:cs="David" w:hint="cs"/>
          <w:sz w:val="28"/>
          <w:szCs w:val="28"/>
          <w:rtl/>
        </w:rPr>
        <w:t>קָא</w:t>
      </w:r>
      <w:proofErr w:type="spellEnd"/>
      <w:r w:rsidRPr="00A14F5E">
        <w:rPr>
          <w:rFonts w:ascii="Arial" w:hAnsi="Arial" w:cs="David" w:hint="cs"/>
          <w:sz w:val="28"/>
          <w:szCs w:val="28"/>
          <w:rtl/>
        </w:rPr>
        <w:t>ָה אֶת הַגּוֹי אֲשׁ</w:t>
      </w:r>
      <w:proofErr w:type="spellStart"/>
      <w:r w:rsidRPr="00A14F5E">
        <w:rPr>
          <w:rFonts w:ascii="Arial" w:hAnsi="Arial" w:cs="David" w:hint="cs"/>
          <w:sz w:val="28"/>
          <w:szCs w:val="28"/>
          <w:rtl/>
        </w:rPr>
        <w:t>ֶר</w:t>
      </w:r>
      <w:proofErr w:type="spellEnd"/>
      <w:r w:rsidRPr="00A14F5E">
        <w:rPr>
          <w:rFonts w:ascii="Arial" w:hAnsi="Arial" w:cs="David" w:hint="cs"/>
          <w:sz w:val="28"/>
          <w:szCs w:val="28"/>
          <w:rtl/>
        </w:rPr>
        <w:t xml:space="preserve"> לִפְנֵיכֶם"</w:t>
      </w:r>
      <w:r w:rsidRPr="00A14F5E">
        <w:rPr>
          <w:rFonts w:cs="David" w:hint="cs"/>
          <w:sz w:val="28"/>
          <w:szCs w:val="28"/>
          <w:rtl/>
        </w:rPr>
        <w:t xml:space="preserve"> (ויקרא </w:t>
      </w:r>
      <w:proofErr w:type="spellStart"/>
      <w:r w:rsidRPr="00A14F5E">
        <w:rPr>
          <w:rFonts w:cs="David" w:hint="cs"/>
          <w:sz w:val="28"/>
          <w:szCs w:val="28"/>
          <w:rtl/>
        </w:rPr>
        <w:t>יח</w:t>
      </w:r>
      <w:proofErr w:type="spellEnd"/>
      <w:r w:rsidRPr="00A14F5E">
        <w:rPr>
          <w:rFonts w:cs="David" w:hint="cs"/>
          <w:sz w:val="28"/>
          <w:szCs w:val="28"/>
          <w:rtl/>
        </w:rPr>
        <w:t xml:space="preserve">, </w:t>
      </w:r>
      <w:proofErr w:type="spellStart"/>
      <w:r w:rsidRPr="00A14F5E">
        <w:rPr>
          <w:rFonts w:cs="David" w:hint="cs"/>
          <w:sz w:val="28"/>
          <w:szCs w:val="28"/>
          <w:rtl/>
        </w:rPr>
        <w:t>כז</w:t>
      </w:r>
      <w:proofErr w:type="spellEnd"/>
      <w:r w:rsidRPr="00A14F5E">
        <w:rPr>
          <w:rFonts w:cs="David" w:hint="cs"/>
          <w:sz w:val="28"/>
          <w:szCs w:val="28"/>
          <w:rtl/>
        </w:rPr>
        <w:t xml:space="preserve">- </w:t>
      </w:r>
      <w:proofErr w:type="spellStart"/>
      <w:r w:rsidRPr="00A14F5E">
        <w:rPr>
          <w:rFonts w:cs="David" w:hint="cs"/>
          <w:sz w:val="28"/>
          <w:szCs w:val="28"/>
          <w:rtl/>
        </w:rPr>
        <w:t>כח</w:t>
      </w:r>
      <w:proofErr w:type="spellEnd"/>
      <w:r w:rsidRPr="00A14F5E">
        <w:rPr>
          <w:rFonts w:cs="David" w:hint="cs"/>
          <w:sz w:val="28"/>
          <w:szCs w:val="28"/>
          <w:rtl/>
        </w:rPr>
        <w:t>)</w:t>
      </w:r>
      <w:r w:rsidR="00F71068">
        <w:rPr>
          <w:rFonts w:cs="David" w:hint="cs"/>
          <w:sz w:val="28"/>
          <w:szCs w:val="28"/>
          <w:rtl/>
        </w:rPr>
        <w:t>.</w:t>
      </w:r>
      <w:r>
        <w:rPr>
          <w:rFonts w:cs="David" w:hint="cs"/>
          <w:sz w:val="28"/>
          <w:szCs w:val="28"/>
          <w:rtl/>
        </w:rPr>
        <w:t xml:space="preserve"> ארץ הקודש </w:t>
      </w:r>
      <w:r w:rsidR="00F71068">
        <w:rPr>
          <w:rFonts w:cs="David" w:hint="cs"/>
          <w:sz w:val="28"/>
          <w:szCs w:val="28"/>
          <w:rtl/>
        </w:rPr>
        <w:t>איננה</w:t>
      </w:r>
      <w:r>
        <w:rPr>
          <w:rFonts w:cs="David" w:hint="cs"/>
          <w:sz w:val="28"/>
          <w:szCs w:val="28"/>
          <w:rtl/>
        </w:rPr>
        <w:t xml:space="preserve"> סובלת טומאה כלל, וטומא</w:t>
      </w:r>
      <w:r w:rsidR="00F71068">
        <w:rPr>
          <w:rFonts w:cs="David" w:hint="cs"/>
          <w:sz w:val="28"/>
          <w:szCs w:val="28"/>
          <w:rtl/>
        </w:rPr>
        <w:t xml:space="preserve">ת </w:t>
      </w:r>
      <w:r>
        <w:rPr>
          <w:rFonts w:cs="David" w:hint="cs"/>
          <w:sz w:val="28"/>
          <w:szCs w:val="28"/>
          <w:rtl/>
        </w:rPr>
        <w:t xml:space="preserve">גילוי עריות בפרט. </w:t>
      </w:r>
      <w:r w:rsidR="00F71068">
        <w:rPr>
          <w:rFonts w:cs="David" w:hint="cs"/>
          <w:sz w:val="28"/>
          <w:szCs w:val="28"/>
          <w:rtl/>
        </w:rPr>
        <w:t xml:space="preserve">אם </w:t>
      </w:r>
      <w:r w:rsidR="00496E1C">
        <w:rPr>
          <w:rFonts w:cs="David" w:hint="cs"/>
          <w:sz w:val="28"/>
          <w:szCs w:val="28"/>
          <w:rtl/>
        </w:rPr>
        <w:t xml:space="preserve">בדף </w:t>
      </w:r>
      <w:r w:rsidR="00F71068">
        <w:rPr>
          <w:rFonts w:cs="David" w:hint="cs"/>
          <w:sz w:val="28"/>
          <w:szCs w:val="28"/>
          <w:rtl/>
        </w:rPr>
        <w:t>הקודם שעסק ב</w:t>
      </w:r>
      <w:r w:rsidR="00496E1C">
        <w:rPr>
          <w:rFonts w:cs="David" w:hint="cs"/>
          <w:sz w:val="28"/>
          <w:szCs w:val="28"/>
          <w:rtl/>
        </w:rPr>
        <w:t>טומאה נראה היה שהיפוכה של הטומאה הוא טהרה</w:t>
      </w:r>
      <w:r w:rsidR="00F71068">
        <w:rPr>
          <w:rFonts w:cs="David" w:hint="cs"/>
          <w:sz w:val="28"/>
          <w:szCs w:val="28"/>
          <w:rtl/>
        </w:rPr>
        <w:t>,</w:t>
      </w:r>
      <w:r w:rsidR="00496E1C">
        <w:rPr>
          <w:rFonts w:cs="David" w:hint="cs"/>
          <w:sz w:val="28"/>
          <w:szCs w:val="28"/>
          <w:rtl/>
        </w:rPr>
        <w:t xml:space="preserve"> כאן נראה שהיפוכה של הקדושה הוא טומאה. </w:t>
      </w:r>
      <w:r w:rsidR="00F71068">
        <w:rPr>
          <w:rFonts w:cs="David" w:hint="cs"/>
          <w:sz w:val="28"/>
          <w:szCs w:val="28"/>
          <w:rtl/>
        </w:rPr>
        <w:t xml:space="preserve">מרכיב </w:t>
      </w:r>
      <w:r w:rsidR="00496E1C">
        <w:rPr>
          <w:rFonts w:cs="David" w:hint="cs"/>
          <w:sz w:val="28"/>
          <w:szCs w:val="28"/>
          <w:rtl/>
        </w:rPr>
        <w:t>זה מוסיף לחוסר הבהירות של מושגים אלה. מהו הקשר שבין טהרה לקדושה? האם אלה הן מילים נרדפות?</w:t>
      </w:r>
    </w:p>
    <w:p w:rsidR="004268D1" w:rsidRDefault="004268D1" w:rsidP="00F71068">
      <w:pPr>
        <w:spacing w:line="360" w:lineRule="auto"/>
        <w:rPr>
          <w:rFonts w:cs="David"/>
          <w:sz w:val="28"/>
          <w:szCs w:val="28"/>
          <w:rtl/>
        </w:rPr>
      </w:pPr>
      <w:r>
        <w:rPr>
          <w:rFonts w:cs="David" w:hint="cs"/>
          <w:sz w:val="28"/>
          <w:szCs w:val="28"/>
          <w:rtl/>
        </w:rPr>
        <w:t xml:space="preserve">מוצע לפתוח את הלימוד בשאלה פתוחה: מהי קדושה </w:t>
      </w:r>
      <w:r w:rsidR="00F71068">
        <w:rPr>
          <w:rFonts w:cs="David" w:hint="cs"/>
          <w:sz w:val="28"/>
          <w:szCs w:val="28"/>
          <w:rtl/>
        </w:rPr>
        <w:t>ב</w:t>
      </w:r>
      <w:r>
        <w:rPr>
          <w:rFonts w:cs="David" w:hint="cs"/>
          <w:sz w:val="28"/>
          <w:szCs w:val="28"/>
          <w:rtl/>
        </w:rPr>
        <w:t>עבור</w:t>
      </w:r>
      <w:r w:rsidR="00F71068">
        <w:rPr>
          <w:rFonts w:cs="David" w:hint="cs"/>
          <w:sz w:val="28"/>
          <w:szCs w:val="28"/>
          <w:rtl/>
        </w:rPr>
        <w:t>כם</w:t>
      </w:r>
      <w:r>
        <w:rPr>
          <w:rFonts w:cs="David" w:hint="cs"/>
          <w:sz w:val="28"/>
          <w:szCs w:val="28"/>
          <w:rtl/>
        </w:rPr>
        <w:t xml:space="preserve">? האם יש </w:t>
      </w:r>
      <w:r w:rsidR="00F71068">
        <w:rPr>
          <w:rFonts w:cs="David" w:hint="cs"/>
          <w:sz w:val="28"/>
          <w:szCs w:val="28"/>
          <w:rtl/>
        </w:rPr>
        <w:t>בעולמכם</w:t>
      </w:r>
      <w:r>
        <w:rPr>
          <w:rFonts w:cs="David" w:hint="cs"/>
          <w:sz w:val="28"/>
          <w:szCs w:val="28"/>
          <w:rtl/>
        </w:rPr>
        <w:t xml:space="preserve"> זמן/מקום/אדם קדוש? מה המשמעות של היות משהו קדוש? </w:t>
      </w:r>
    </w:p>
    <w:p w:rsidR="00C02564" w:rsidRDefault="00A14F5E" w:rsidP="00F71068">
      <w:pPr>
        <w:spacing w:line="360" w:lineRule="auto"/>
        <w:rPr>
          <w:rFonts w:cs="David"/>
          <w:sz w:val="28"/>
          <w:szCs w:val="28"/>
          <w:rtl/>
        </w:rPr>
      </w:pPr>
      <w:r>
        <w:rPr>
          <w:rFonts w:cs="David" w:hint="cs"/>
          <w:sz w:val="28"/>
          <w:szCs w:val="28"/>
          <w:rtl/>
        </w:rPr>
        <w:t xml:space="preserve">פרשת קדושים פותחת בפסוק: </w:t>
      </w:r>
      <w:bookmarkStart w:id="1" w:name="2"/>
      <w:bookmarkEnd w:id="1"/>
      <w:r w:rsidR="00C02564" w:rsidRPr="00C02564">
        <w:rPr>
          <w:rFonts w:ascii="Arial" w:hAnsi="Arial" w:cs="David" w:hint="cs"/>
          <w:sz w:val="28"/>
          <w:szCs w:val="28"/>
          <w:rtl/>
        </w:rPr>
        <w:t>"דַּבֵּר אֶל כָּל עֲדַת בְּנֵי-יִשְׂרָאֵל וְאָמַ</w:t>
      </w:r>
      <w:proofErr w:type="spellStart"/>
      <w:r w:rsidR="00C02564" w:rsidRPr="00C02564">
        <w:rPr>
          <w:rFonts w:ascii="Arial" w:hAnsi="Arial" w:cs="David" w:hint="cs"/>
          <w:sz w:val="28"/>
          <w:szCs w:val="28"/>
          <w:rtl/>
        </w:rPr>
        <w:t>רְתּ</w:t>
      </w:r>
      <w:proofErr w:type="spellEnd"/>
      <w:r w:rsidR="00C02564" w:rsidRPr="00C02564">
        <w:rPr>
          <w:rFonts w:ascii="Arial" w:hAnsi="Arial" w:cs="David" w:hint="cs"/>
          <w:sz w:val="28"/>
          <w:szCs w:val="28"/>
          <w:rtl/>
        </w:rPr>
        <w:t xml:space="preserve">ָ </w:t>
      </w:r>
      <w:proofErr w:type="spellStart"/>
      <w:r w:rsidR="00C02564" w:rsidRPr="00C02564">
        <w:rPr>
          <w:rFonts w:ascii="Arial" w:hAnsi="Arial" w:cs="David" w:hint="cs"/>
          <w:sz w:val="28"/>
          <w:szCs w:val="28"/>
          <w:rtl/>
        </w:rPr>
        <w:t>אֲלֵ</w:t>
      </w:r>
      <w:proofErr w:type="spellEnd"/>
      <w:r w:rsidR="00C02564" w:rsidRPr="00C02564">
        <w:rPr>
          <w:rFonts w:ascii="Arial" w:hAnsi="Arial" w:cs="David" w:hint="cs"/>
          <w:sz w:val="28"/>
          <w:szCs w:val="28"/>
          <w:rtl/>
        </w:rPr>
        <w:t>הֶם</w:t>
      </w:r>
      <w:r w:rsidR="00F71068">
        <w:rPr>
          <w:rFonts w:ascii="Arial" w:hAnsi="Arial" w:cs="David" w:hint="cs"/>
          <w:sz w:val="28"/>
          <w:szCs w:val="28"/>
          <w:rtl/>
        </w:rPr>
        <w:t>,</w:t>
      </w:r>
      <w:r w:rsidR="00C02564" w:rsidRPr="00C02564">
        <w:rPr>
          <w:rFonts w:ascii="Arial" w:hAnsi="Arial" w:cs="David" w:hint="cs"/>
          <w:sz w:val="28"/>
          <w:szCs w:val="28"/>
          <w:rtl/>
        </w:rPr>
        <w:t xml:space="preserve"> קְדֹשִׁים תִּהְיוּ כִּי קָדוֹ</w:t>
      </w:r>
      <w:proofErr w:type="spellStart"/>
      <w:r w:rsidR="00C02564" w:rsidRPr="00C02564">
        <w:rPr>
          <w:rFonts w:ascii="Arial" w:hAnsi="Arial" w:cs="David" w:hint="cs"/>
          <w:sz w:val="28"/>
          <w:szCs w:val="28"/>
          <w:rtl/>
        </w:rPr>
        <w:t>שׁ</w:t>
      </w:r>
      <w:proofErr w:type="spellEnd"/>
      <w:r w:rsidR="00C02564" w:rsidRPr="00C02564">
        <w:rPr>
          <w:rFonts w:ascii="Arial" w:hAnsi="Arial" w:cs="David" w:hint="cs"/>
          <w:sz w:val="28"/>
          <w:szCs w:val="28"/>
          <w:rtl/>
        </w:rPr>
        <w:t xml:space="preserve"> אֲנִי </w:t>
      </w:r>
      <w:r w:rsidR="00F71068">
        <w:rPr>
          <w:rFonts w:ascii="Arial" w:hAnsi="Arial" w:cs="David" w:hint="cs"/>
          <w:sz w:val="28"/>
          <w:szCs w:val="28"/>
          <w:rtl/>
        </w:rPr>
        <w:t>ה'</w:t>
      </w:r>
      <w:r w:rsidR="00F71068" w:rsidRPr="00C02564">
        <w:rPr>
          <w:rFonts w:ascii="Arial" w:hAnsi="Arial" w:cs="David" w:hint="cs"/>
          <w:sz w:val="28"/>
          <w:szCs w:val="28"/>
          <w:rtl/>
        </w:rPr>
        <w:t xml:space="preserve"> </w:t>
      </w:r>
      <w:proofErr w:type="spellStart"/>
      <w:r w:rsidR="00C02564" w:rsidRPr="00C02564">
        <w:rPr>
          <w:rFonts w:ascii="Arial" w:hAnsi="Arial" w:cs="David" w:hint="cs"/>
          <w:sz w:val="28"/>
          <w:szCs w:val="28"/>
          <w:rtl/>
        </w:rPr>
        <w:t>אֱלֹהֵ</w:t>
      </w:r>
      <w:proofErr w:type="spellEnd"/>
      <w:r w:rsidR="00C02564" w:rsidRPr="00C02564">
        <w:rPr>
          <w:rFonts w:ascii="Arial" w:hAnsi="Arial" w:cs="David" w:hint="cs"/>
          <w:sz w:val="28"/>
          <w:szCs w:val="28"/>
          <w:rtl/>
        </w:rPr>
        <w:t>יכֶם"</w:t>
      </w:r>
      <w:r w:rsidR="00C02564" w:rsidRPr="00C02564">
        <w:rPr>
          <w:rFonts w:cs="David" w:hint="cs"/>
          <w:sz w:val="28"/>
          <w:szCs w:val="28"/>
          <w:rtl/>
        </w:rPr>
        <w:t xml:space="preserve"> (ויקרא </w:t>
      </w:r>
      <w:proofErr w:type="spellStart"/>
      <w:r w:rsidR="00C02564" w:rsidRPr="00C02564">
        <w:rPr>
          <w:rFonts w:cs="David" w:hint="cs"/>
          <w:sz w:val="28"/>
          <w:szCs w:val="28"/>
          <w:rtl/>
        </w:rPr>
        <w:t>יט</w:t>
      </w:r>
      <w:proofErr w:type="spellEnd"/>
      <w:r w:rsidR="00C02564" w:rsidRPr="00C02564">
        <w:rPr>
          <w:rFonts w:cs="David" w:hint="cs"/>
          <w:sz w:val="28"/>
          <w:szCs w:val="28"/>
          <w:rtl/>
        </w:rPr>
        <w:t>, ב). האם מדובר</w:t>
      </w:r>
      <w:r w:rsidR="00C02564">
        <w:rPr>
          <w:rFonts w:cs="David" w:hint="cs"/>
          <w:sz w:val="28"/>
          <w:szCs w:val="28"/>
          <w:rtl/>
        </w:rPr>
        <w:t xml:space="preserve"> ב</w:t>
      </w:r>
      <w:r w:rsidR="00F71068">
        <w:rPr>
          <w:rFonts w:cs="David" w:hint="cs"/>
          <w:sz w:val="28"/>
          <w:szCs w:val="28"/>
          <w:rtl/>
        </w:rPr>
        <w:t xml:space="preserve">פסוק </w:t>
      </w:r>
      <w:r w:rsidR="00C02564">
        <w:rPr>
          <w:rFonts w:cs="David" w:hint="cs"/>
          <w:sz w:val="28"/>
          <w:szCs w:val="28"/>
          <w:rtl/>
        </w:rPr>
        <w:t>תיאור</w:t>
      </w:r>
      <w:r w:rsidR="00F71068">
        <w:rPr>
          <w:rFonts w:cs="David" w:hint="cs"/>
          <w:sz w:val="28"/>
          <w:szCs w:val="28"/>
          <w:rtl/>
        </w:rPr>
        <w:t>י</w:t>
      </w:r>
      <w:r w:rsidR="00C02564">
        <w:rPr>
          <w:rFonts w:cs="David" w:hint="cs"/>
          <w:sz w:val="28"/>
          <w:szCs w:val="28"/>
          <w:rtl/>
        </w:rPr>
        <w:t xml:space="preserve"> </w:t>
      </w:r>
      <w:r w:rsidR="00C02564">
        <w:rPr>
          <w:rFonts w:cs="David"/>
          <w:sz w:val="28"/>
          <w:szCs w:val="28"/>
          <w:rtl/>
        </w:rPr>
        <w:t>–</w:t>
      </w:r>
      <w:r w:rsidR="00C02564">
        <w:rPr>
          <w:rFonts w:cs="David" w:hint="cs"/>
          <w:sz w:val="28"/>
          <w:szCs w:val="28"/>
          <w:rtl/>
        </w:rPr>
        <w:t xml:space="preserve"> כלומר</w:t>
      </w:r>
      <w:r w:rsidR="00F71068">
        <w:rPr>
          <w:rFonts w:cs="David" w:hint="cs"/>
          <w:sz w:val="28"/>
          <w:szCs w:val="28"/>
          <w:rtl/>
        </w:rPr>
        <w:t>,</w:t>
      </w:r>
      <w:r w:rsidR="00C02564">
        <w:rPr>
          <w:rFonts w:cs="David" w:hint="cs"/>
          <w:sz w:val="28"/>
          <w:szCs w:val="28"/>
          <w:rtl/>
        </w:rPr>
        <w:t xml:space="preserve"> שהקדושה היא תכונה </w:t>
      </w:r>
      <w:r w:rsidR="00C02564">
        <w:rPr>
          <w:rFonts w:cs="David" w:hint="cs"/>
          <w:sz w:val="28"/>
          <w:szCs w:val="28"/>
          <w:rtl/>
        </w:rPr>
        <w:lastRenderedPageBreak/>
        <w:t>מהותית של עם ישראל</w:t>
      </w:r>
      <w:r w:rsidR="00F71068">
        <w:rPr>
          <w:rFonts w:cs="David" w:hint="cs"/>
          <w:sz w:val="28"/>
          <w:szCs w:val="28"/>
          <w:rtl/>
        </w:rPr>
        <w:t>?</w:t>
      </w:r>
      <w:r w:rsidR="00C02564">
        <w:rPr>
          <w:rFonts w:cs="David" w:hint="cs"/>
          <w:sz w:val="28"/>
          <w:szCs w:val="28"/>
          <w:rtl/>
        </w:rPr>
        <w:t xml:space="preserve"> או שמא מדובר בצו, באתגר, במצווה להיות קדושים? פרק </w:t>
      </w:r>
      <w:proofErr w:type="spellStart"/>
      <w:r w:rsidR="00C02564">
        <w:rPr>
          <w:rFonts w:cs="David" w:hint="cs"/>
          <w:sz w:val="28"/>
          <w:szCs w:val="28"/>
          <w:rtl/>
        </w:rPr>
        <w:t>יט</w:t>
      </w:r>
      <w:proofErr w:type="spellEnd"/>
      <w:r w:rsidR="00C02564">
        <w:rPr>
          <w:rFonts w:cs="David" w:hint="cs"/>
          <w:sz w:val="28"/>
          <w:szCs w:val="28"/>
          <w:rtl/>
        </w:rPr>
        <w:t xml:space="preserve"> גדוש במצוות, חלקן דתיות מובהקות וחלקן מוסריות ובין-אישיות. מומלץ לעיין בפרק ולהתרשם ממגוון המצוות המצויות ב</w:t>
      </w:r>
      <w:r w:rsidR="00F71068">
        <w:rPr>
          <w:rFonts w:cs="David" w:hint="cs"/>
          <w:sz w:val="28"/>
          <w:szCs w:val="28"/>
          <w:rtl/>
        </w:rPr>
        <w:t>ו.</w:t>
      </w:r>
      <w:r w:rsidR="00C02564">
        <w:rPr>
          <w:rFonts w:cs="David" w:hint="cs"/>
          <w:sz w:val="28"/>
          <w:szCs w:val="28"/>
          <w:rtl/>
        </w:rPr>
        <w:t xml:space="preserve"> האם יש בפרק זה כדי להסביר את עמדת התורה באשר לשאלה המעסיקה אותנו בדף זה? </w:t>
      </w:r>
    </w:p>
    <w:p w:rsidR="00C02564" w:rsidRDefault="00C02564" w:rsidP="00F71068">
      <w:pPr>
        <w:spacing w:line="360" w:lineRule="auto"/>
        <w:rPr>
          <w:rFonts w:cs="David"/>
          <w:sz w:val="28"/>
          <w:szCs w:val="28"/>
          <w:rtl/>
        </w:rPr>
      </w:pPr>
      <w:r>
        <w:rPr>
          <w:rFonts w:cs="David" w:hint="cs"/>
          <w:sz w:val="28"/>
          <w:szCs w:val="28"/>
          <w:rtl/>
        </w:rPr>
        <w:t xml:space="preserve">הסיפור </w:t>
      </w:r>
      <w:r w:rsidR="00F71068">
        <w:rPr>
          <w:rFonts w:cs="David" w:hint="cs"/>
          <w:sz w:val="28"/>
          <w:szCs w:val="28"/>
          <w:rtl/>
        </w:rPr>
        <w:t>החסידי '</w:t>
      </w:r>
      <w:r>
        <w:rPr>
          <w:rFonts w:cs="David" w:hint="cs"/>
          <w:sz w:val="28"/>
          <w:szCs w:val="28"/>
          <w:rtl/>
        </w:rPr>
        <w:t>רגש השבת</w:t>
      </w:r>
      <w:r w:rsidR="00F71068">
        <w:rPr>
          <w:rFonts w:cs="David" w:hint="cs"/>
          <w:sz w:val="28"/>
          <w:szCs w:val="28"/>
          <w:rtl/>
        </w:rPr>
        <w:t>'</w:t>
      </w:r>
      <w:r>
        <w:rPr>
          <w:rFonts w:cs="David" w:hint="cs"/>
          <w:sz w:val="28"/>
          <w:szCs w:val="28"/>
          <w:rtl/>
        </w:rPr>
        <w:t xml:space="preserve"> נועד לפתח את הדיון בשאלה זו של הקדושה ומשמעותה. לאחר מכן מומלץ ללמוד את הקטעים של הרב קוק ושל ישעיהו ליבוביץ' בקבוצות קטנות</w:t>
      </w:r>
      <w:r w:rsidR="00F71068">
        <w:rPr>
          <w:rFonts w:cs="David" w:hint="cs"/>
          <w:sz w:val="28"/>
          <w:szCs w:val="28"/>
          <w:rtl/>
        </w:rPr>
        <w:t>,</w:t>
      </w:r>
      <w:r>
        <w:rPr>
          <w:rFonts w:cs="David" w:hint="cs"/>
          <w:sz w:val="28"/>
          <w:szCs w:val="28"/>
          <w:rtl/>
        </w:rPr>
        <w:t xml:space="preserve"> ולאפשר לאנשים לנקוט עמד</w:t>
      </w:r>
      <w:r w:rsidR="00F71068">
        <w:rPr>
          <w:rFonts w:cs="David" w:hint="cs"/>
          <w:sz w:val="28"/>
          <w:szCs w:val="28"/>
          <w:rtl/>
        </w:rPr>
        <w:t>ה</w:t>
      </w:r>
      <w:r>
        <w:rPr>
          <w:rFonts w:cs="David" w:hint="cs"/>
          <w:sz w:val="28"/>
          <w:szCs w:val="28"/>
          <w:rtl/>
        </w:rPr>
        <w:t xml:space="preserve">. </w:t>
      </w:r>
    </w:p>
    <w:p w:rsidR="00C02564" w:rsidRDefault="00C02564" w:rsidP="00F71068">
      <w:pPr>
        <w:spacing w:line="360" w:lineRule="auto"/>
        <w:rPr>
          <w:rFonts w:cs="David" w:hint="cs"/>
          <w:sz w:val="28"/>
          <w:szCs w:val="28"/>
          <w:rtl/>
        </w:rPr>
      </w:pPr>
      <w:r>
        <w:rPr>
          <w:rFonts w:cs="David" w:hint="cs"/>
          <w:sz w:val="28"/>
          <w:szCs w:val="28"/>
          <w:rtl/>
        </w:rPr>
        <w:t xml:space="preserve">לסיום, עמדת </w:t>
      </w:r>
      <w:proofErr w:type="spellStart"/>
      <w:r>
        <w:rPr>
          <w:rFonts w:cs="David" w:hint="cs"/>
          <w:sz w:val="28"/>
          <w:szCs w:val="28"/>
          <w:rtl/>
        </w:rPr>
        <w:t>לוינס</w:t>
      </w:r>
      <w:proofErr w:type="spellEnd"/>
      <w:r>
        <w:rPr>
          <w:rFonts w:cs="David" w:hint="cs"/>
          <w:sz w:val="28"/>
          <w:szCs w:val="28"/>
          <w:rtl/>
        </w:rPr>
        <w:t xml:space="preserve"> היא שאין קדושה שהיא רק דתית</w:t>
      </w:r>
      <w:r w:rsidR="00F71068">
        <w:rPr>
          <w:rFonts w:cs="David" w:hint="cs"/>
          <w:sz w:val="28"/>
          <w:szCs w:val="28"/>
          <w:rtl/>
        </w:rPr>
        <w:t>,</w:t>
      </w:r>
      <w:r>
        <w:rPr>
          <w:rFonts w:cs="David" w:hint="cs"/>
          <w:sz w:val="28"/>
          <w:szCs w:val="28"/>
          <w:rtl/>
        </w:rPr>
        <w:t xml:space="preserve"> אלא הקדושה תמיד כרוכה ב</w:t>
      </w:r>
      <w:r w:rsidR="00212CD6">
        <w:rPr>
          <w:rFonts w:cs="David" w:hint="cs"/>
          <w:sz w:val="28"/>
          <w:szCs w:val="28"/>
          <w:rtl/>
        </w:rPr>
        <w:t>יחסים תקינים בין אדם לזולתו. זו עשויה להיות הצעה מעני</w:t>
      </w:r>
      <w:r w:rsidR="00F71068">
        <w:rPr>
          <w:rFonts w:cs="David" w:hint="cs"/>
          <w:sz w:val="28"/>
          <w:szCs w:val="28"/>
          <w:rtl/>
        </w:rPr>
        <w:t>י</w:t>
      </w:r>
      <w:r w:rsidR="00212CD6">
        <w:rPr>
          <w:rFonts w:cs="David" w:hint="cs"/>
          <w:sz w:val="28"/>
          <w:szCs w:val="28"/>
          <w:rtl/>
        </w:rPr>
        <w:t xml:space="preserve">נת. </w:t>
      </w:r>
    </w:p>
    <w:p w:rsidR="004268D1" w:rsidRPr="000901AC" w:rsidRDefault="004268D1" w:rsidP="00F71068">
      <w:pPr>
        <w:spacing w:line="360" w:lineRule="auto"/>
        <w:rPr>
          <w:rFonts w:cs="David"/>
          <w:sz w:val="28"/>
          <w:szCs w:val="28"/>
          <w:rtl/>
        </w:rPr>
      </w:pPr>
      <w:r>
        <w:rPr>
          <w:rFonts w:cs="David" w:hint="cs"/>
          <w:sz w:val="28"/>
          <w:szCs w:val="28"/>
          <w:rtl/>
        </w:rPr>
        <w:t>להלן קטע ממאמר שכתבתי, שיוכל להרחיב את היריעה</w:t>
      </w:r>
      <w:r w:rsidR="00F71068">
        <w:rPr>
          <w:rFonts w:cs="David" w:hint="cs"/>
          <w:sz w:val="28"/>
          <w:szCs w:val="28"/>
          <w:rtl/>
        </w:rPr>
        <w:t>:</w:t>
      </w:r>
      <w:r>
        <w:rPr>
          <w:rFonts w:cs="David" w:hint="cs"/>
          <w:sz w:val="28"/>
          <w:szCs w:val="28"/>
          <w:rtl/>
        </w:rPr>
        <w:t xml:space="preserve"> </w:t>
      </w:r>
    </w:p>
    <w:p w:rsidR="00000000" w:rsidRDefault="004268D1">
      <w:pPr>
        <w:spacing w:line="360" w:lineRule="auto"/>
        <w:ind w:left="390"/>
        <w:jc w:val="both"/>
        <w:rPr>
          <w:rFonts w:cs="David"/>
          <w:sz w:val="26"/>
          <w:szCs w:val="26"/>
          <w:rtl/>
        </w:rPr>
      </w:pPr>
      <w:r>
        <w:rPr>
          <w:rFonts w:cs="David" w:hint="cs"/>
          <w:sz w:val="26"/>
          <w:szCs w:val="26"/>
          <w:rtl/>
        </w:rPr>
        <w:t xml:space="preserve">לכאורה, המילה </w:t>
      </w:r>
      <w:r w:rsidR="001D677A">
        <w:rPr>
          <w:rFonts w:cs="David" w:hint="cs"/>
          <w:sz w:val="26"/>
          <w:szCs w:val="26"/>
          <w:rtl/>
        </w:rPr>
        <w:t>'</w:t>
      </w:r>
      <w:r>
        <w:rPr>
          <w:rFonts w:cs="David" w:hint="cs"/>
          <w:sz w:val="26"/>
          <w:szCs w:val="26"/>
          <w:rtl/>
        </w:rPr>
        <w:t>קדוש</w:t>
      </w:r>
      <w:r w:rsidR="001D677A">
        <w:rPr>
          <w:rFonts w:cs="David" w:hint="cs"/>
          <w:sz w:val="26"/>
          <w:szCs w:val="26"/>
          <w:rtl/>
        </w:rPr>
        <w:t>'</w:t>
      </w:r>
      <w:r>
        <w:rPr>
          <w:rFonts w:cs="David" w:hint="cs"/>
          <w:sz w:val="26"/>
          <w:szCs w:val="26"/>
          <w:rtl/>
        </w:rPr>
        <w:t xml:space="preserve"> נוגעת באופן מובהק לתחום </w:t>
      </w:r>
      <w:proofErr w:type="spellStart"/>
      <w:r>
        <w:rPr>
          <w:rFonts w:cs="David" w:hint="cs"/>
          <w:sz w:val="26"/>
          <w:szCs w:val="26"/>
          <w:rtl/>
        </w:rPr>
        <w:t>ה</w:t>
      </w:r>
      <w:r w:rsidR="001D677A">
        <w:rPr>
          <w:rFonts w:cs="David" w:hint="cs"/>
          <w:sz w:val="26"/>
          <w:szCs w:val="26"/>
          <w:rtl/>
        </w:rPr>
        <w:t>'</w:t>
      </w:r>
      <w:r>
        <w:rPr>
          <w:rFonts w:cs="David" w:hint="cs"/>
          <w:sz w:val="26"/>
          <w:szCs w:val="26"/>
          <w:rtl/>
        </w:rPr>
        <w:t>דתי</w:t>
      </w:r>
      <w:proofErr w:type="spellEnd"/>
      <w:r w:rsidR="001D677A">
        <w:rPr>
          <w:rFonts w:cs="David" w:hint="cs"/>
          <w:sz w:val="26"/>
          <w:szCs w:val="26"/>
          <w:rtl/>
        </w:rPr>
        <w:t>'</w:t>
      </w:r>
      <w:r>
        <w:rPr>
          <w:rFonts w:cs="David" w:hint="cs"/>
          <w:sz w:val="26"/>
          <w:szCs w:val="26"/>
          <w:rtl/>
        </w:rPr>
        <w:t xml:space="preserve">, לציר היחסים שבין אדם למקום ולכן היא גם כינוי של אלוהים </w:t>
      </w:r>
      <w:r>
        <w:rPr>
          <w:rFonts w:cs="David"/>
          <w:sz w:val="26"/>
          <w:szCs w:val="26"/>
          <w:rtl/>
        </w:rPr>
        <w:t>–</w:t>
      </w:r>
      <w:r>
        <w:rPr>
          <w:rFonts w:cs="David" w:hint="cs"/>
          <w:sz w:val="26"/>
          <w:szCs w:val="26"/>
          <w:rtl/>
        </w:rPr>
        <w:t xml:space="preserve"> הקדוש ברוך הוא. הקדושה יכולה להיות תכונה מהותית של חפץ, זמן, מקום או אדם ואז, נגזר מן הקדושה קוד התנהגות כלפי הקדוש, שקדושתו אינה תלויה בו. מנגד, הקדושה יכולה להיתפס כאידיאל המציב מערכת דרישות נורמטיבית כדי ליצור את הקדושה של חפץ, זמן, מקום או אדם. למשל, אם נתבונן בקדושה השבת, תעלה השאלה, האם קדושתו של יום השבת היא נתונה ועל האדם רק לכבד זאת או שמא, האדם בפעולותיו, כגון הקידוש והימנעותו מעשיית מלאכה, הוא המקדש את השבת? האם הקדושה נתונה או שמא פעולות אנושיות הן אלה שמעצבות את הקדושה? או במילים אחרות, האם אלוהים הוא המקדש את הקדוש, או שמא האדם נדרש לקדש את הקדוש?</w:t>
      </w:r>
      <w:r w:rsidR="0082284F">
        <w:rPr>
          <w:rFonts w:cs="David" w:hint="cs"/>
          <w:sz w:val="26"/>
          <w:szCs w:val="26"/>
          <w:rtl/>
        </w:rPr>
        <w:t xml:space="preserve"> (אליזבט </w:t>
      </w:r>
      <w:proofErr w:type="spellStart"/>
      <w:r w:rsidR="0082284F">
        <w:rPr>
          <w:rFonts w:cs="David" w:hint="cs"/>
          <w:sz w:val="26"/>
          <w:szCs w:val="26"/>
          <w:rtl/>
        </w:rPr>
        <w:t>גולדוין</w:t>
      </w:r>
      <w:proofErr w:type="spellEnd"/>
      <w:r w:rsidR="0082284F">
        <w:rPr>
          <w:rFonts w:cs="David" w:hint="cs"/>
          <w:sz w:val="26"/>
          <w:szCs w:val="26"/>
          <w:rtl/>
        </w:rPr>
        <w:t xml:space="preserve">, </w:t>
      </w:r>
      <w:r w:rsidR="001D677A">
        <w:rPr>
          <w:rFonts w:cs="David" w:hint="cs"/>
          <w:sz w:val="26"/>
          <w:szCs w:val="26"/>
          <w:rtl/>
        </w:rPr>
        <w:t>'</w:t>
      </w:r>
      <w:r w:rsidR="004C3FE1" w:rsidRPr="004C3FE1">
        <w:rPr>
          <w:rFonts w:cs="David" w:hint="cs"/>
          <w:sz w:val="26"/>
          <w:szCs w:val="26"/>
          <w:rtl/>
        </w:rPr>
        <w:t>דת</w:t>
      </w:r>
      <w:r w:rsidR="004C3FE1" w:rsidRPr="004C3FE1">
        <w:rPr>
          <w:rFonts w:cs="David"/>
          <w:sz w:val="26"/>
          <w:szCs w:val="26"/>
          <w:rtl/>
        </w:rPr>
        <w:t xml:space="preserve"> </w:t>
      </w:r>
      <w:r w:rsidR="004C3FE1" w:rsidRPr="004C3FE1">
        <w:rPr>
          <w:rFonts w:cs="David" w:hint="cs"/>
          <w:sz w:val="26"/>
          <w:szCs w:val="26"/>
          <w:rtl/>
        </w:rPr>
        <w:t>ומוסר</w:t>
      </w:r>
      <w:r w:rsidR="004C3FE1" w:rsidRPr="004C3FE1">
        <w:rPr>
          <w:rFonts w:cs="David"/>
          <w:sz w:val="26"/>
          <w:szCs w:val="26"/>
          <w:rtl/>
        </w:rPr>
        <w:t xml:space="preserve"> </w:t>
      </w:r>
      <w:r w:rsidR="004C3FE1" w:rsidRPr="004C3FE1">
        <w:rPr>
          <w:rFonts w:cs="David" w:hint="cs"/>
          <w:sz w:val="26"/>
          <w:szCs w:val="26"/>
          <w:rtl/>
        </w:rPr>
        <w:t>בהגותו</w:t>
      </w:r>
      <w:r w:rsidR="004C3FE1" w:rsidRPr="004C3FE1">
        <w:rPr>
          <w:rFonts w:cs="David"/>
          <w:sz w:val="26"/>
          <w:szCs w:val="26"/>
          <w:rtl/>
        </w:rPr>
        <w:t xml:space="preserve"> </w:t>
      </w:r>
      <w:r w:rsidR="004C3FE1" w:rsidRPr="004C3FE1">
        <w:rPr>
          <w:rFonts w:cs="David" w:hint="cs"/>
          <w:sz w:val="26"/>
          <w:szCs w:val="26"/>
          <w:rtl/>
        </w:rPr>
        <w:t>היהודית</w:t>
      </w:r>
      <w:r w:rsidR="004C3FE1" w:rsidRPr="004C3FE1">
        <w:rPr>
          <w:rFonts w:cs="David"/>
          <w:sz w:val="26"/>
          <w:szCs w:val="26"/>
          <w:rtl/>
        </w:rPr>
        <w:t xml:space="preserve"> </w:t>
      </w:r>
      <w:r w:rsidR="004C3FE1" w:rsidRPr="004C3FE1">
        <w:rPr>
          <w:rFonts w:cs="David" w:hint="cs"/>
          <w:sz w:val="26"/>
          <w:szCs w:val="26"/>
          <w:rtl/>
        </w:rPr>
        <w:t>של</w:t>
      </w:r>
      <w:r w:rsidR="004C3FE1" w:rsidRPr="004C3FE1">
        <w:rPr>
          <w:rFonts w:cs="David"/>
          <w:sz w:val="26"/>
          <w:szCs w:val="26"/>
          <w:rtl/>
        </w:rPr>
        <w:t xml:space="preserve"> </w:t>
      </w:r>
      <w:r w:rsidR="004C3FE1" w:rsidRPr="004C3FE1">
        <w:rPr>
          <w:rFonts w:cs="David" w:hint="cs"/>
          <w:sz w:val="26"/>
          <w:szCs w:val="26"/>
          <w:rtl/>
        </w:rPr>
        <w:t>עמנואל</w:t>
      </w:r>
      <w:r w:rsidR="004C3FE1" w:rsidRPr="004C3FE1">
        <w:rPr>
          <w:rFonts w:cs="David"/>
          <w:sz w:val="26"/>
          <w:szCs w:val="26"/>
          <w:rtl/>
        </w:rPr>
        <w:t xml:space="preserve"> </w:t>
      </w:r>
      <w:proofErr w:type="spellStart"/>
      <w:r w:rsidR="004C3FE1" w:rsidRPr="004C3FE1">
        <w:rPr>
          <w:rFonts w:cs="David" w:hint="cs"/>
          <w:sz w:val="26"/>
          <w:szCs w:val="26"/>
          <w:rtl/>
        </w:rPr>
        <w:t>לוינס</w:t>
      </w:r>
      <w:proofErr w:type="spellEnd"/>
      <w:r w:rsidR="001D677A">
        <w:rPr>
          <w:rFonts w:cs="David" w:hint="cs"/>
          <w:sz w:val="26"/>
          <w:szCs w:val="26"/>
          <w:rtl/>
        </w:rPr>
        <w:t>'</w:t>
      </w:r>
      <w:r w:rsidR="004C3FE1" w:rsidRPr="004C3FE1">
        <w:rPr>
          <w:rFonts w:cs="David"/>
          <w:sz w:val="26"/>
          <w:szCs w:val="26"/>
          <w:rtl/>
        </w:rPr>
        <w:t xml:space="preserve">, </w:t>
      </w:r>
      <w:r w:rsidR="004C3FE1" w:rsidRPr="004C3FE1">
        <w:rPr>
          <w:rFonts w:cs="David" w:hint="cs"/>
          <w:b/>
          <w:bCs/>
          <w:sz w:val="26"/>
          <w:szCs w:val="26"/>
          <w:rtl/>
        </w:rPr>
        <w:t>דעת</w:t>
      </w:r>
      <w:r w:rsidR="004C3FE1" w:rsidRPr="004C3FE1">
        <w:rPr>
          <w:rFonts w:cs="David"/>
          <w:sz w:val="26"/>
          <w:szCs w:val="26"/>
          <w:rtl/>
        </w:rPr>
        <w:t xml:space="preserve"> 70 </w:t>
      </w:r>
      <w:r w:rsidR="001D677A">
        <w:rPr>
          <w:rFonts w:cs="David" w:hint="cs"/>
          <w:sz w:val="26"/>
          <w:szCs w:val="26"/>
          <w:rtl/>
        </w:rPr>
        <w:t>[</w:t>
      </w:r>
      <w:r w:rsidR="004C3FE1" w:rsidRPr="004C3FE1">
        <w:rPr>
          <w:rFonts w:cs="David" w:hint="cs"/>
          <w:sz w:val="26"/>
          <w:szCs w:val="26"/>
          <w:rtl/>
        </w:rPr>
        <w:t>חורף</w:t>
      </w:r>
      <w:r w:rsidR="004C3FE1" w:rsidRPr="004C3FE1">
        <w:rPr>
          <w:rFonts w:cs="David"/>
          <w:sz w:val="26"/>
          <w:szCs w:val="26"/>
          <w:rtl/>
        </w:rPr>
        <w:t xml:space="preserve"> </w:t>
      </w:r>
      <w:r w:rsidR="004C3FE1" w:rsidRPr="004C3FE1">
        <w:rPr>
          <w:rFonts w:cs="David" w:hint="cs"/>
          <w:sz w:val="26"/>
          <w:szCs w:val="26"/>
          <w:rtl/>
        </w:rPr>
        <w:t>תשע</w:t>
      </w:r>
      <w:r w:rsidR="004C3FE1" w:rsidRPr="004C3FE1">
        <w:rPr>
          <w:rFonts w:cs="David"/>
          <w:sz w:val="26"/>
          <w:szCs w:val="26"/>
          <w:rtl/>
        </w:rPr>
        <w:t>"</w:t>
      </w:r>
      <w:r w:rsidR="004C3FE1" w:rsidRPr="004C3FE1">
        <w:rPr>
          <w:rFonts w:cs="David" w:hint="cs"/>
          <w:sz w:val="26"/>
          <w:szCs w:val="26"/>
          <w:rtl/>
        </w:rPr>
        <w:t>א</w:t>
      </w:r>
      <w:r w:rsidR="001D677A">
        <w:rPr>
          <w:rFonts w:cs="David" w:hint="cs"/>
          <w:sz w:val="26"/>
          <w:szCs w:val="26"/>
          <w:rtl/>
        </w:rPr>
        <w:t>]</w:t>
      </w:r>
      <w:r w:rsidR="004C3FE1" w:rsidRPr="004C3FE1">
        <w:rPr>
          <w:rFonts w:cs="David"/>
          <w:sz w:val="26"/>
          <w:szCs w:val="26"/>
          <w:rtl/>
        </w:rPr>
        <w:t xml:space="preserve">, </w:t>
      </w:r>
      <w:proofErr w:type="spellStart"/>
      <w:r w:rsidR="004C3FE1" w:rsidRPr="004C3FE1">
        <w:rPr>
          <w:rFonts w:cs="David" w:hint="cs"/>
          <w:sz w:val="26"/>
          <w:szCs w:val="26"/>
          <w:rtl/>
        </w:rPr>
        <w:t>עמ</w:t>
      </w:r>
      <w:proofErr w:type="spellEnd"/>
      <w:r w:rsidR="004C3FE1" w:rsidRPr="004C3FE1">
        <w:rPr>
          <w:rFonts w:cs="David"/>
          <w:sz w:val="26"/>
          <w:szCs w:val="26"/>
          <w:rtl/>
        </w:rPr>
        <w:t>' 153)</w:t>
      </w:r>
      <w:r w:rsidR="001D677A">
        <w:rPr>
          <w:rFonts w:cs="David" w:hint="cs"/>
          <w:sz w:val="26"/>
          <w:szCs w:val="26"/>
          <w:rtl/>
        </w:rPr>
        <w:t>.</w:t>
      </w:r>
      <w:r>
        <w:rPr>
          <w:rFonts w:cs="David" w:hint="cs"/>
          <w:sz w:val="26"/>
          <w:szCs w:val="26"/>
          <w:rtl/>
        </w:rPr>
        <w:t xml:space="preserve"> </w:t>
      </w:r>
    </w:p>
    <w:p w:rsidR="004268D1" w:rsidRDefault="004268D1" w:rsidP="001D677A">
      <w:pPr>
        <w:spacing w:line="360" w:lineRule="auto"/>
        <w:jc w:val="both"/>
        <w:rPr>
          <w:rFonts w:cs="David"/>
          <w:sz w:val="26"/>
          <w:szCs w:val="26"/>
          <w:rtl/>
        </w:rPr>
      </w:pPr>
      <w:r>
        <w:rPr>
          <w:rFonts w:cs="David" w:hint="cs"/>
          <w:sz w:val="26"/>
          <w:szCs w:val="26"/>
          <w:rtl/>
        </w:rPr>
        <w:t xml:space="preserve">לשאלה זו </w:t>
      </w:r>
      <w:r w:rsidR="001D677A">
        <w:rPr>
          <w:rFonts w:cs="David" w:hint="cs"/>
          <w:sz w:val="26"/>
          <w:szCs w:val="26"/>
          <w:rtl/>
        </w:rPr>
        <w:t xml:space="preserve">יש </w:t>
      </w:r>
      <w:r>
        <w:rPr>
          <w:rFonts w:cs="David" w:hint="cs"/>
          <w:sz w:val="26"/>
          <w:szCs w:val="26"/>
          <w:rtl/>
        </w:rPr>
        <w:t>משמעויות דתיות ואתיות מרחיקות לכת. בהגות היהודית לדורותיה נוכל להבחין בשתי התפיסות הקיצוניות</w:t>
      </w:r>
      <w:r w:rsidR="001D677A">
        <w:rPr>
          <w:rFonts w:cs="David" w:hint="cs"/>
          <w:sz w:val="26"/>
          <w:szCs w:val="26"/>
          <w:rtl/>
        </w:rPr>
        <w:t>,</w:t>
      </w:r>
      <w:r>
        <w:rPr>
          <w:rFonts w:cs="David" w:hint="cs"/>
          <w:sz w:val="26"/>
          <w:szCs w:val="26"/>
          <w:rtl/>
        </w:rPr>
        <w:t xml:space="preserve"> וגם בתפיסות </w:t>
      </w:r>
      <w:r w:rsidR="001D677A">
        <w:rPr>
          <w:rFonts w:cs="David" w:hint="cs"/>
          <w:sz w:val="26"/>
          <w:szCs w:val="26"/>
          <w:rtl/>
        </w:rPr>
        <w:t xml:space="preserve">הנמצאות בתווך </w:t>
      </w:r>
      <w:r>
        <w:rPr>
          <w:rFonts w:cs="David" w:hint="cs"/>
          <w:sz w:val="26"/>
          <w:szCs w:val="26"/>
          <w:rtl/>
        </w:rPr>
        <w:t xml:space="preserve">בין הקצוות. כדאי ללמוד את הקטעים של ליבוביץ' ושל </w:t>
      </w:r>
      <w:proofErr w:type="spellStart"/>
      <w:r>
        <w:rPr>
          <w:rFonts w:cs="David" w:hint="cs"/>
          <w:sz w:val="26"/>
          <w:szCs w:val="26"/>
          <w:rtl/>
        </w:rPr>
        <w:t>הראי"ה</w:t>
      </w:r>
      <w:proofErr w:type="spellEnd"/>
      <w:r>
        <w:rPr>
          <w:rFonts w:cs="David" w:hint="cs"/>
          <w:sz w:val="26"/>
          <w:szCs w:val="26"/>
          <w:rtl/>
        </w:rPr>
        <w:t xml:space="preserve"> קוק בקבוצות קטנות (</w:t>
      </w:r>
      <w:proofErr w:type="spellStart"/>
      <w:r>
        <w:rPr>
          <w:rFonts w:cs="David" w:hint="cs"/>
          <w:sz w:val="26"/>
          <w:szCs w:val="26"/>
          <w:rtl/>
        </w:rPr>
        <w:t>חברותות</w:t>
      </w:r>
      <w:proofErr w:type="spellEnd"/>
      <w:r>
        <w:rPr>
          <w:rFonts w:cs="David" w:hint="cs"/>
          <w:sz w:val="26"/>
          <w:szCs w:val="26"/>
          <w:rtl/>
        </w:rPr>
        <w:t xml:space="preserve">). </w:t>
      </w:r>
    </w:p>
    <w:p w:rsidR="004268D1" w:rsidRDefault="001D677A" w:rsidP="001D677A">
      <w:pPr>
        <w:spacing w:line="360" w:lineRule="auto"/>
        <w:jc w:val="both"/>
        <w:rPr>
          <w:rFonts w:cs="David"/>
          <w:sz w:val="26"/>
          <w:szCs w:val="26"/>
          <w:rtl/>
        </w:rPr>
      </w:pPr>
      <w:r>
        <w:rPr>
          <w:rFonts w:cs="David" w:hint="cs"/>
          <w:sz w:val="26"/>
          <w:szCs w:val="26"/>
          <w:rtl/>
        </w:rPr>
        <w:t>נ</w:t>
      </w:r>
      <w:r w:rsidR="004268D1">
        <w:rPr>
          <w:rFonts w:cs="David" w:hint="cs"/>
          <w:sz w:val="26"/>
          <w:szCs w:val="26"/>
          <w:rtl/>
        </w:rPr>
        <w:t xml:space="preserve">שוב למליאה ללמוד </w:t>
      </w:r>
      <w:r>
        <w:rPr>
          <w:rFonts w:cs="David" w:hint="cs"/>
          <w:sz w:val="26"/>
          <w:szCs w:val="26"/>
          <w:rtl/>
        </w:rPr>
        <w:t xml:space="preserve">יחד </w:t>
      </w:r>
      <w:r w:rsidR="004268D1">
        <w:rPr>
          <w:rFonts w:cs="David" w:hint="cs"/>
          <w:sz w:val="26"/>
          <w:szCs w:val="26"/>
          <w:rtl/>
        </w:rPr>
        <w:t xml:space="preserve">את עמדת עמנואל </w:t>
      </w:r>
      <w:proofErr w:type="spellStart"/>
      <w:r w:rsidR="004268D1">
        <w:rPr>
          <w:rFonts w:cs="David" w:hint="cs"/>
          <w:sz w:val="26"/>
          <w:szCs w:val="26"/>
          <w:rtl/>
        </w:rPr>
        <w:t>לוינס</w:t>
      </w:r>
      <w:proofErr w:type="spellEnd"/>
      <w:r w:rsidR="004268D1">
        <w:rPr>
          <w:rFonts w:cs="David" w:hint="cs"/>
          <w:sz w:val="26"/>
          <w:szCs w:val="26"/>
          <w:rtl/>
        </w:rPr>
        <w:t xml:space="preserve"> בנושא. הנה המשך המאמר </w:t>
      </w:r>
      <w:r w:rsidR="004268D1">
        <w:rPr>
          <w:rFonts w:cs="David"/>
          <w:sz w:val="26"/>
          <w:szCs w:val="26"/>
          <w:rtl/>
        </w:rPr>
        <w:t>–</w:t>
      </w:r>
      <w:r w:rsidR="004268D1">
        <w:rPr>
          <w:rFonts w:cs="David" w:hint="cs"/>
          <w:sz w:val="26"/>
          <w:szCs w:val="26"/>
          <w:rtl/>
        </w:rPr>
        <w:t xml:space="preserve"> להרחבת היריעה:</w:t>
      </w:r>
    </w:p>
    <w:p w:rsidR="004268D1" w:rsidRDefault="004268D1" w:rsidP="001B4077">
      <w:pPr>
        <w:spacing w:line="360" w:lineRule="auto"/>
        <w:jc w:val="both"/>
        <w:rPr>
          <w:rFonts w:cs="David"/>
          <w:sz w:val="26"/>
          <w:szCs w:val="26"/>
          <w:rtl/>
        </w:rPr>
      </w:pPr>
      <w:r>
        <w:rPr>
          <w:rFonts w:cs="David" w:hint="cs"/>
          <w:sz w:val="26"/>
          <w:szCs w:val="26"/>
          <w:rtl/>
        </w:rPr>
        <w:lastRenderedPageBreak/>
        <w:t>בראשית שיעורו "חילון וביטול הכישוף"</w:t>
      </w:r>
      <w:r>
        <w:rPr>
          <w:rStyle w:val="ad"/>
          <w:rFonts w:cs="David"/>
          <w:sz w:val="26"/>
          <w:szCs w:val="26"/>
        </w:rPr>
        <w:footnoteReference w:id="1"/>
      </w:r>
      <w:r>
        <w:rPr>
          <w:rFonts w:cs="David" w:hint="cs"/>
          <w:sz w:val="26"/>
          <w:szCs w:val="26"/>
          <w:rtl/>
        </w:rPr>
        <w:t xml:space="preserve"> מגדיר </w:t>
      </w:r>
      <w:proofErr w:type="spellStart"/>
      <w:r>
        <w:rPr>
          <w:rFonts w:cs="David" w:hint="cs"/>
          <w:sz w:val="26"/>
          <w:szCs w:val="26"/>
          <w:rtl/>
        </w:rPr>
        <w:t>לוינס</w:t>
      </w:r>
      <w:proofErr w:type="spellEnd"/>
      <w:r>
        <w:rPr>
          <w:rFonts w:cs="David" w:hint="cs"/>
          <w:sz w:val="26"/>
          <w:szCs w:val="26"/>
          <w:rtl/>
        </w:rPr>
        <w:t>:</w:t>
      </w:r>
    </w:p>
    <w:p w:rsidR="004268D1" w:rsidRDefault="004268D1" w:rsidP="001D677A">
      <w:pPr>
        <w:spacing w:line="360" w:lineRule="auto"/>
        <w:ind w:left="567"/>
        <w:jc w:val="both"/>
        <w:rPr>
          <w:rFonts w:ascii="Arial" w:hAnsi="Arial"/>
          <w:sz w:val="26"/>
          <w:szCs w:val="26"/>
        </w:rPr>
      </w:pPr>
      <w:r>
        <w:rPr>
          <w:rFonts w:ascii="Arial" w:hAnsi="Arial" w:hint="cs"/>
          <w:sz w:val="26"/>
          <w:szCs w:val="26"/>
          <w:rtl/>
        </w:rPr>
        <w:t xml:space="preserve">הקדושה, כלומר ההבדלה או </w:t>
      </w:r>
      <w:proofErr w:type="spellStart"/>
      <w:r>
        <w:rPr>
          <w:rFonts w:ascii="Arial" w:hAnsi="Arial" w:hint="cs"/>
          <w:sz w:val="26"/>
          <w:szCs w:val="26"/>
          <w:rtl/>
        </w:rPr>
        <w:t>הטוהרה</w:t>
      </w:r>
      <w:proofErr w:type="spellEnd"/>
      <w:r>
        <w:rPr>
          <w:rFonts w:ascii="Arial" w:hAnsi="Arial" w:hint="cs"/>
          <w:sz w:val="26"/>
          <w:szCs w:val="26"/>
          <w:rtl/>
        </w:rPr>
        <w:t xml:space="preserve"> (</w:t>
      </w:r>
      <w:r>
        <w:rPr>
          <w:rFonts w:ascii="Arial" w:hAnsi="Arial" w:hint="cs"/>
          <w:i/>
          <w:iCs/>
          <w:sz w:val="26"/>
          <w:szCs w:val="26"/>
          <w:rtl/>
        </w:rPr>
        <w:t xml:space="preserve">תשע קריאות </w:t>
      </w:r>
      <w:r>
        <w:rPr>
          <w:rFonts w:ascii="Arial" w:hAnsi="Arial" w:hint="cs"/>
          <w:sz w:val="26"/>
          <w:szCs w:val="26"/>
          <w:rtl/>
        </w:rPr>
        <w:t>175).</w:t>
      </w:r>
      <w:r>
        <w:rPr>
          <w:rStyle w:val="ad"/>
          <w:rFonts w:ascii="Arial" w:hAnsi="Arial"/>
          <w:sz w:val="26"/>
          <w:szCs w:val="26"/>
        </w:rPr>
        <w:footnoteReference w:id="2"/>
      </w:r>
    </w:p>
    <w:p w:rsidR="004268D1" w:rsidRDefault="004268D1" w:rsidP="004268D1">
      <w:pPr>
        <w:spacing w:line="360" w:lineRule="auto"/>
        <w:jc w:val="both"/>
        <w:rPr>
          <w:rFonts w:cs="David"/>
          <w:sz w:val="26"/>
          <w:szCs w:val="26"/>
          <w:rtl/>
        </w:rPr>
      </w:pPr>
      <w:r>
        <w:rPr>
          <w:rFonts w:cs="David" w:hint="cs"/>
          <w:sz w:val="26"/>
          <w:szCs w:val="26"/>
          <w:rtl/>
        </w:rPr>
        <w:t>אבל עוד לפני הגדרה זו, בראש השיעור הוא מבחין בין שני מושגים, שבצרפתית אין ביניהם הבדל. וכך כותב דניאל אפשטיין מתרגם שיעור זה לעברית:</w:t>
      </w:r>
    </w:p>
    <w:p w:rsidR="004268D1" w:rsidRDefault="004268D1" w:rsidP="001D677A">
      <w:pPr>
        <w:spacing w:line="360" w:lineRule="auto"/>
        <w:ind w:left="567" w:right="567"/>
        <w:jc w:val="both"/>
        <w:rPr>
          <w:rFonts w:cs="David"/>
          <w:sz w:val="26"/>
          <w:szCs w:val="26"/>
          <w:rtl/>
        </w:rPr>
      </w:pPr>
      <w:proofErr w:type="spellStart"/>
      <w:r>
        <w:rPr>
          <w:rFonts w:cs="David" w:hint="cs"/>
          <w:sz w:val="26"/>
          <w:szCs w:val="26"/>
          <w:rtl/>
        </w:rPr>
        <w:t>לוינס</w:t>
      </w:r>
      <w:proofErr w:type="spellEnd"/>
      <w:r>
        <w:rPr>
          <w:rFonts w:cs="David" w:hint="cs"/>
          <w:sz w:val="26"/>
          <w:szCs w:val="26"/>
          <w:rtl/>
        </w:rPr>
        <w:t xml:space="preserve"> מבחין בין שתי מילים בעלות משמעות זהה: </w:t>
      </w:r>
      <w:r>
        <w:rPr>
          <w:rFonts w:cs="David"/>
          <w:sz w:val="26"/>
          <w:szCs w:val="26"/>
        </w:rPr>
        <w:t>Saint</w:t>
      </w:r>
      <w:r>
        <w:rPr>
          <w:rFonts w:cs="David" w:hint="cs"/>
          <w:sz w:val="26"/>
          <w:szCs w:val="26"/>
          <w:rtl/>
        </w:rPr>
        <w:t xml:space="preserve"> ו </w:t>
      </w:r>
      <w:r>
        <w:rPr>
          <w:rFonts w:cs="David"/>
          <w:sz w:val="26"/>
          <w:szCs w:val="26"/>
          <w:rtl/>
        </w:rPr>
        <w:t>–</w:t>
      </w:r>
      <w:r>
        <w:rPr>
          <w:rFonts w:cs="David" w:hint="cs"/>
          <w:sz w:val="26"/>
          <w:szCs w:val="26"/>
          <w:rtl/>
        </w:rPr>
        <w:t xml:space="preserve"> </w:t>
      </w:r>
      <w:proofErr w:type="spellStart"/>
      <w:r>
        <w:rPr>
          <w:rFonts w:cs="David"/>
          <w:sz w:val="26"/>
          <w:szCs w:val="26"/>
        </w:rPr>
        <w:t>Sacr</w:t>
      </w:r>
      <w:r>
        <w:rPr>
          <w:sz w:val="26"/>
          <w:szCs w:val="26"/>
        </w:rPr>
        <w:t>é</w:t>
      </w:r>
      <w:proofErr w:type="spellEnd"/>
      <w:r>
        <w:rPr>
          <w:rFonts w:cs="David" w:hint="cs"/>
          <w:sz w:val="26"/>
          <w:szCs w:val="26"/>
          <w:rtl/>
        </w:rPr>
        <w:t xml:space="preserve">. בחרנו לתרגם את המילה </w:t>
      </w:r>
      <w:proofErr w:type="spellStart"/>
      <w:r>
        <w:rPr>
          <w:rFonts w:cs="David"/>
          <w:sz w:val="26"/>
          <w:szCs w:val="26"/>
        </w:rPr>
        <w:t>Sacr</w:t>
      </w:r>
      <w:r>
        <w:rPr>
          <w:sz w:val="26"/>
          <w:szCs w:val="26"/>
        </w:rPr>
        <w:t>é</w:t>
      </w:r>
      <w:proofErr w:type="spellEnd"/>
      <w:r>
        <w:rPr>
          <w:rFonts w:hint="cs"/>
          <w:sz w:val="26"/>
          <w:szCs w:val="26"/>
          <w:rtl/>
        </w:rPr>
        <w:t xml:space="preserve">, </w:t>
      </w:r>
      <w:r>
        <w:rPr>
          <w:rFonts w:cs="David" w:hint="cs"/>
          <w:sz w:val="26"/>
          <w:szCs w:val="26"/>
          <w:rtl/>
        </w:rPr>
        <w:t xml:space="preserve">המציינת כאן את הקודש המדומה </w:t>
      </w:r>
      <w:r>
        <w:rPr>
          <w:rFonts w:cs="David"/>
          <w:sz w:val="26"/>
          <w:szCs w:val="26"/>
          <w:rtl/>
        </w:rPr>
        <w:t>–</w:t>
      </w:r>
      <w:r>
        <w:rPr>
          <w:rFonts w:cs="David" w:hint="cs"/>
          <w:sz w:val="26"/>
          <w:szCs w:val="26"/>
          <w:rtl/>
        </w:rPr>
        <w:t xml:space="preserve"> קודש, ואת המילה</w:t>
      </w:r>
      <w:r>
        <w:rPr>
          <w:rFonts w:hint="cs"/>
          <w:sz w:val="26"/>
          <w:szCs w:val="26"/>
          <w:rtl/>
        </w:rPr>
        <w:t xml:space="preserve"> </w:t>
      </w:r>
      <w:r>
        <w:rPr>
          <w:rFonts w:cs="David"/>
          <w:sz w:val="26"/>
          <w:szCs w:val="26"/>
        </w:rPr>
        <w:t>Saint</w:t>
      </w:r>
      <w:r>
        <w:rPr>
          <w:rFonts w:cs="David" w:hint="cs"/>
          <w:sz w:val="26"/>
          <w:szCs w:val="26"/>
          <w:rtl/>
        </w:rPr>
        <w:t xml:space="preserve">, המציינת כאן את הקדושה המוסרית </w:t>
      </w:r>
      <w:r>
        <w:rPr>
          <w:rFonts w:cs="David"/>
          <w:sz w:val="26"/>
          <w:szCs w:val="26"/>
          <w:rtl/>
        </w:rPr>
        <w:t>–</w:t>
      </w:r>
      <w:r>
        <w:rPr>
          <w:rFonts w:cs="David" w:hint="cs"/>
          <w:sz w:val="26"/>
          <w:szCs w:val="26"/>
          <w:rtl/>
        </w:rPr>
        <w:t xml:space="preserve"> קדוש (שם הערה 1).</w:t>
      </w:r>
    </w:p>
    <w:p w:rsidR="004268D1" w:rsidRDefault="004268D1" w:rsidP="004268D1">
      <w:pPr>
        <w:spacing w:line="360" w:lineRule="auto"/>
        <w:jc w:val="both"/>
        <w:rPr>
          <w:rFonts w:cs="David"/>
          <w:sz w:val="26"/>
          <w:szCs w:val="26"/>
          <w:rtl/>
        </w:rPr>
      </w:pPr>
      <w:proofErr w:type="spellStart"/>
      <w:r>
        <w:rPr>
          <w:rFonts w:cs="David" w:hint="cs"/>
          <w:sz w:val="26"/>
          <w:szCs w:val="26"/>
          <w:rtl/>
        </w:rPr>
        <w:t>לוינס</w:t>
      </w:r>
      <w:proofErr w:type="spellEnd"/>
      <w:r>
        <w:rPr>
          <w:rFonts w:cs="David" w:hint="cs"/>
          <w:sz w:val="26"/>
          <w:szCs w:val="26"/>
          <w:rtl/>
        </w:rPr>
        <w:t xml:space="preserve"> מנסה להבחין בין שני סוגים של קדושה שאחד מהם נראה לו מגונה והאחר, ראוי ומקדם. ה"קודש" הוא קדושה </w:t>
      </w:r>
      <w:proofErr w:type="spellStart"/>
      <w:r>
        <w:rPr>
          <w:rFonts w:cs="David" w:hint="cs"/>
          <w:sz w:val="26"/>
          <w:szCs w:val="26"/>
          <w:rtl/>
        </w:rPr>
        <w:t>נומינוזית</w:t>
      </w:r>
      <w:proofErr w:type="spellEnd"/>
      <w:r>
        <w:rPr>
          <w:rFonts w:cs="David" w:hint="cs"/>
          <w:sz w:val="26"/>
          <w:szCs w:val="26"/>
          <w:rtl/>
        </w:rPr>
        <w:t xml:space="preserve">, כלומר תכונה נתונה. מה ומי שניחן בתכונה זו אמור לשמש להתחברות בלתי אמצעית לאל ולהתמזגות אתו. לדעתו, הקודש דומה מאוד לכישוף ולמיני אחיזת עיניים. הוא שואף לבטל את הפער שבין העצמי, הזהה-לעצמו לאחר הטרנסצנדנטי ולהפוך אותם לחלק מכוליות אחת. ויותר מכך, הוא יוצר אשליה של התקדשות שהתנערות מאחריות חברתית עלולה לבוא עמה. במילים אחרות, הקודש הוא ניסיון להתחבר אל הציר האנכי במנותק מן הציר האופקי וזוהי סכנתו. המחשבה שאפשר להתחבר לאל, לבטל את הטרנסצנדנטיות שלו מבלי להתייחס לאחר האנושי היא אשליה והיא מנוגדת ל"הבדלה ולטוהרה" של האל או, במילים אחרות, לקדושתו. </w:t>
      </w:r>
    </w:p>
    <w:p w:rsidR="004268D1" w:rsidRDefault="004268D1" w:rsidP="004268D1">
      <w:pPr>
        <w:spacing w:line="360" w:lineRule="auto"/>
        <w:ind w:left="567" w:right="567"/>
        <w:jc w:val="both"/>
        <w:rPr>
          <w:rFonts w:ascii="Arial" w:hAnsi="Arial"/>
          <w:sz w:val="26"/>
          <w:szCs w:val="26"/>
          <w:rtl/>
        </w:rPr>
      </w:pPr>
      <w:proofErr w:type="spellStart"/>
      <w:r>
        <w:rPr>
          <w:rFonts w:ascii="Arial" w:hAnsi="Arial" w:hint="cs"/>
          <w:sz w:val="26"/>
          <w:szCs w:val="26"/>
          <w:rtl/>
        </w:rPr>
        <w:t>הנומינוזי</w:t>
      </w:r>
      <w:proofErr w:type="spellEnd"/>
      <w:r>
        <w:rPr>
          <w:rFonts w:ascii="Arial" w:hAnsi="Arial" w:hint="cs"/>
          <w:sz w:val="26"/>
          <w:szCs w:val="26"/>
          <w:rtl/>
        </w:rPr>
        <w:t xml:space="preserve"> מבטל את היחסים בין בני-אדם מתוך שהוא משתף יצורי אנוש, ולו יהא זה מתוך </w:t>
      </w:r>
      <w:proofErr w:type="spellStart"/>
      <w:r>
        <w:rPr>
          <w:rFonts w:ascii="Arial" w:hAnsi="Arial" w:hint="cs"/>
          <w:sz w:val="26"/>
          <w:szCs w:val="26"/>
          <w:rtl/>
        </w:rPr>
        <w:t>אקסטזה</w:t>
      </w:r>
      <w:proofErr w:type="spellEnd"/>
      <w:r>
        <w:rPr>
          <w:rFonts w:ascii="Arial" w:hAnsi="Arial" w:hint="cs"/>
          <w:sz w:val="26"/>
          <w:szCs w:val="26"/>
          <w:rtl/>
        </w:rPr>
        <w:t>, בדרמה שבני-אנוש לא ביקשו לעצמם, בתחום שבו הם שוקעים במצולות...הקדושה האופפת אותי ונושאת אותי אל על היא אלימות. (</w:t>
      </w:r>
      <w:r>
        <w:rPr>
          <w:rFonts w:ascii="Arial" w:hAnsi="Arial" w:hint="cs"/>
          <w:i/>
          <w:iCs/>
          <w:sz w:val="26"/>
          <w:szCs w:val="26"/>
          <w:rtl/>
        </w:rPr>
        <w:t xml:space="preserve">חירות קשה </w:t>
      </w:r>
      <w:r>
        <w:rPr>
          <w:rFonts w:ascii="Arial" w:hAnsi="Arial" w:hint="cs"/>
          <w:sz w:val="26"/>
          <w:szCs w:val="26"/>
          <w:rtl/>
        </w:rPr>
        <w:t xml:space="preserve">76)    </w:t>
      </w:r>
    </w:p>
    <w:p w:rsidR="004268D1" w:rsidRDefault="004268D1" w:rsidP="004268D1">
      <w:pPr>
        <w:spacing w:line="360" w:lineRule="auto"/>
        <w:jc w:val="both"/>
        <w:rPr>
          <w:rFonts w:cs="David"/>
          <w:sz w:val="26"/>
          <w:szCs w:val="26"/>
          <w:rtl/>
        </w:rPr>
      </w:pPr>
      <w:r>
        <w:rPr>
          <w:rFonts w:cs="David" w:hint="cs"/>
          <w:sz w:val="26"/>
          <w:szCs w:val="26"/>
          <w:rtl/>
        </w:rPr>
        <w:t xml:space="preserve">מהי אם כן קדושה במובן החיובי, במובן ה"הבדלה </w:t>
      </w:r>
      <w:proofErr w:type="spellStart"/>
      <w:r>
        <w:rPr>
          <w:rFonts w:cs="David" w:hint="cs"/>
          <w:sz w:val="26"/>
          <w:szCs w:val="26"/>
          <w:rtl/>
        </w:rPr>
        <w:t>והטוהרה</w:t>
      </w:r>
      <w:proofErr w:type="spellEnd"/>
      <w:r>
        <w:rPr>
          <w:rFonts w:cs="David" w:hint="cs"/>
          <w:sz w:val="26"/>
          <w:szCs w:val="26"/>
          <w:rtl/>
        </w:rPr>
        <w:t>"? היא קודם כל יחס המשמר את הנפרדות שבין אדם לאלוהיו, בין הזהה-לעצמו לטרנסצנדנטי:</w:t>
      </w:r>
    </w:p>
    <w:p w:rsidR="004268D1" w:rsidRPr="0082284F" w:rsidRDefault="004268D1" w:rsidP="004268D1">
      <w:pPr>
        <w:pStyle w:val="a9"/>
        <w:ind w:left="567" w:right="567"/>
        <w:rPr>
          <w:rFonts w:cs="Arial"/>
          <w:b w:val="0"/>
          <w:bCs w:val="0"/>
          <w:sz w:val="26"/>
          <w:szCs w:val="26"/>
          <w:rtl/>
        </w:rPr>
      </w:pPr>
      <w:r w:rsidRPr="0082284F">
        <w:rPr>
          <w:rFonts w:cs="Arial" w:hint="cs"/>
          <w:b w:val="0"/>
          <w:bCs w:val="0"/>
          <w:sz w:val="26"/>
          <w:szCs w:val="26"/>
          <w:rtl/>
        </w:rPr>
        <w:lastRenderedPageBreak/>
        <w:t>הלל ושבח לאל על שברא יצור המסוגל לבקש אחריו או לשומעו מרחוק, מתוך הפירוד. (שם 77)</w:t>
      </w:r>
    </w:p>
    <w:p w:rsidR="004268D1" w:rsidRDefault="004268D1" w:rsidP="004268D1">
      <w:pPr>
        <w:spacing w:line="360" w:lineRule="auto"/>
        <w:jc w:val="both"/>
        <w:rPr>
          <w:rFonts w:cs="David"/>
          <w:sz w:val="26"/>
          <w:szCs w:val="26"/>
          <w:rtl/>
        </w:rPr>
      </w:pPr>
      <w:r>
        <w:rPr>
          <w:rFonts w:cs="David" w:hint="cs"/>
          <w:sz w:val="26"/>
          <w:szCs w:val="26"/>
          <w:rtl/>
        </w:rPr>
        <w:t xml:space="preserve">אך יותר מכך, היא קשורה בעיצוב יחסים שבין אדם </w:t>
      </w:r>
      <w:proofErr w:type="spellStart"/>
      <w:r>
        <w:rPr>
          <w:rFonts w:cs="David" w:hint="cs"/>
          <w:sz w:val="26"/>
          <w:szCs w:val="26"/>
          <w:rtl/>
        </w:rPr>
        <w:t>לחבירו</w:t>
      </w:r>
      <w:proofErr w:type="spellEnd"/>
      <w:r>
        <w:rPr>
          <w:rFonts w:cs="David" w:hint="cs"/>
          <w:sz w:val="26"/>
          <w:szCs w:val="26"/>
          <w:rtl/>
        </w:rPr>
        <w:t>:</w:t>
      </w:r>
    </w:p>
    <w:p w:rsidR="004268D1" w:rsidRDefault="004268D1" w:rsidP="004268D1">
      <w:pPr>
        <w:spacing w:line="360" w:lineRule="auto"/>
        <w:ind w:left="567" w:right="567"/>
        <w:jc w:val="both"/>
        <w:rPr>
          <w:rFonts w:ascii="Arial" w:hAnsi="Arial"/>
          <w:sz w:val="26"/>
          <w:szCs w:val="26"/>
          <w:rtl/>
        </w:rPr>
      </w:pPr>
      <w:r>
        <w:rPr>
          <w:rFonts w:ascii="Arial" w:hAnsi="Arial" w:hint="cs"/>
          <w:sz w:val="26"/>
          <w:szCs w:val="26"/>
          <w:rtl/>
        </w:rPr>
        <w:t>מכאן נובע הרעיון שלפיו הקשר בין בני אדם מהווה במובן מסוים את המעשה הדתי הנעלה ביותר. עצמאי מכל גילוי של דתיות פולחנית, גם ללא כל התאחדות דתית במובן הצר של המילה  (</w:t>
      </w:r>
      <w:r>
        <w:rPr>
          <w:rFonts w:ascii="Arial" w:hAnsi="Arial"/>
          <w:i/>
          <w:iCs/>
          <w:sz w:val="26"/>
          <w:szCs w:val="26"/>
        </w:rPr>
        <w:t xml:space="preserve">Les </w:t>
      </w:r>
      <w:proofErr w:type="spellStart"/>
      <w:r>
        <w:rPr>
          <w:rFonts w:ascii="Arial" w:hAnsi="Arial"/>
          <w:i/>
          <w:iCs/>
          <w:sz w:val="26"/>
          <w:szCs w:val="26"/>
        </w:rPr>
        <w:t>imprévus</w:t>
      </w:r>
      <w:proofErr w:type="spellEnd"/>
      <w:r>
        <w:rPr>
          <w:rFonts w:ascii="Arial" w:hAnsi="Arial"/>
          <w:i/>
          <w:iCs/>
          <w:sz w:val="26"/>
          <w:szCs w:val="26"/>
        </w:rPr>
        <w:t xml:space="preserve"> de </w:t>
      </w:r>
      <w:proofErr w:type="spellStart"/>
      <w:r>
        <w:rPr>
          <w:rFonts w:ascii="Arial" w:hAnsi="Arial"/>
          <w:i/>
          <w:iCs/>
          <w:sz w:val="26"/>
          <w:szCs w:val="26"/>
        </w:rPr>
        <w:t>l`histoire</w:t>
      </w:r>
      <w:proofErr w:type="spellEnd"/>
      <w:r>
        <w:rPr>
          <w:rFonts w:ascii="Arial" w:hAnsi="Arial" w:hint="cs"/>
          <w:sz w:val="26"/>
          <w:szCs w:val="26"/>
          <w:rtl/>
        </w:rPr>
        <w:t>, קטע מצוטט בעברית ב</w:t>
      </w:r>
      <w:r>
        <w:rPr>
          <w:rFonts w:ascii="Arial" w:hAnsi="Arial" w:hint="cs"/>
          <w:i/>
          <w:iCs/>
          <w:sz w:val="26"/>
          <w:szCs w:val="26"/>
          <w:rtl/>
        </w:rPr>
        <w:t>הוגים בפרשה 307)</w:t>
      </w:r>
      <w:r>
        <w:rPr>
          <w:rFonts w:ascii="Arial" w:hAnsi="Arial"/>
          <w:sz w:val="26"/>
          <w:szCs w:val="26"/>
        </w:rPr>
        <w:t xml:space="preserve"> </w:t>
      </w:r>
    </w:p>
    <w:p w:rsidR="004268D1" w:rsidRDefault="004268D1" w:rsidP="004268D1">
      <w:pPr>
        <w:spacing w:line="360" w:lineRule="auto"/>
        <w:jc w:val="both"/>
        <w:rPr>
          <w:rFonts w:cs="David"/>
          <w:sz w:val="26"/>
          <w:szCs w:val="26"/>
          <w:rtl/>
        </w:rPr>
      </w:pPr>
      <w:proofErr w:type="spellStart"/>
      <w:r>
        <w:rPr>
          <w:rFonts w:ascii="Arial" w:hAnsi="Arial" w:cs="David" w:hint="cs"/>
          <w:sz w:val="26"/>
          <w:szCs w:val="26"/>
          <w:rtl/>
        </w:rPr>
        <w:t>לוינס</w:t>
      </w:r>
      <w:proofErr w:type="spellEnd"/>
      <w:r>
        <w:rPr>
          <w:rFonts w:ascii="Arial" w:hAnsi="Arial" w:cs="David" w:hint="cs"/>
          <w:sz w:val="26"/>
          <w:szCs w:val="26"/>
          <w:rtl/>
        </w:rPr>
        <w:t xml:space="preserve"> ממעט להשתמש במילה "קדוש" או קדושה במובן החיובי וכנראה שלא במקרה. נראה שהוא חושש מן הדמיון הרב שבינה לבין הקודש.</w:t>
      </w:r>
      <w:r>
        <w:rPr>
          <w:rFonts w:cs="David" w:hint="cs"/>
          <w:sz w:val="26"/>
          <w:szCs w:val="26"/>
          <w:rtl/>
        </w:rPr>
        <w:t xml:space="preserve"> ובכל זאת, וכדי להעמיק יותר בהבנת גישתו, נוכל לראות איך מתייחס </w:t>
      </w:r>
      <w:proofErr w:type="spellStart"/>
      <w:r>
        <w:rPr>
          <w:rFonts w:cs="David" w:hint="cs"/>
          <w:sz w:val="26"/>
          <w:szCs w:val="26"/>
          <w:rtl/>
        </w:rPr>
        <w:t>לוינס</w:t>
      </w:r>
      <w:proofErr w:type="spellEnd"/>
      <w:r>
        <w:rPr>
          <w:rFonts w:cs="David" w:hint="cs"/>
          <w:sz w:val="26"/>
          <w:szCs w:val="26"/>
          <w:rtl/>
        </w:rPr>
        <w:t xml:space="preserve"> בשיעוריו התלמודיים למושאים הנקראים בטקסט המתפרש, קדושים. יובאו כאן שלוש דוגמאות: </w:t>
      </w:r>
    </w:p>
    <w:p w:rsidR="004268D1" w:rsidRDefault="004268D1" w:rsidP="004268D1">
      <w:pPr>
        <w:spacing w:line="360" w:lineRule="auto"/>
        <w:jc w:val="both"/>
        <w:rPr>
          <w:rFonts w:cs="David"/>
          <w:sz w:val="26"/>
          <w:szCs w:val="26"/>
          <w:rtl/>
        </w:rPr>
      </w:pPr>
      <w:r>
        <w:rPr>
          <w:rFonts w:cs="David" w:hint="cs"/>
          <w:sz w:val="26"/>
          <w:szCs w:val="26"/>
          <w:rtl/>
        </w:rPr>
        <w:t>בשיעור "דגם העולם המערבי"</w:t>
      </w:r>
      <w:r>
        <w:rPr>
          <w:rStyle w:val="ad"/>
          <w:rFonts w:cs="David"/>
          <w:sz w:val="26"/>
          <w:szCs w:val="26"/>
        </w:rPr>
        <w:footnoteReference w:id="3"/>
      </w:r>
      <w:r>
        <w:rPr>
          <w:rFonts w:cs="David" w:hint="cs"/>
          <w:sz w:val="26"/>
          <w:szCs w:val="26"/>
          <w:rtl/>
        </w:rPr>
        <w:t xml:space="preserve"> מופיע לחם הפנים, לחם שהיה מונח במשכן ובבית המקדש, לחם קדוש שהמשנה מתארת את טקס החלפתו מידי שבוע בפירוט רב. </w:t>
      </w:r>
    </w:p>
    <w:p w:rsidR="004268D1" w:rsidRDefault="004268D1" w:rsidP="004268D1">
      <w:pPr>
        <w:spacing w:line="360" w:lineRule="auto"/>
        <w:ind w:left="567" w:right="567"/>
        <w:jc w:val="both"/>
        <w:rPr>
          <w:rFonts w:cs="David"/>
          <w:i/>
          <w:iCs/>
          <w:sz w:val="26"/>
          <w:szCs w:val="26"/>
          <w:rtl/>
        </w:rPr>
      </w:pPr>
      <w:r>
        <w:rPr>
          <w:rFonts w:ascii="Arial" w:hAnsi="Arial" w:hint="cs"/>
          <w:sz w:val="26"/>
          <w:szCs w:val="26"/>
          <w:rtl/>
        </w:rPr>
        <w:t xml:space="preserve">אותו לחם, </w:t>
      </w:r>
      <w:r>
        <w:rPr>
          <w:rFonts w:ascii="Arial" w:hAnsi="Arial" w:hint="cs"/>
          <w:i/>
          <w:iCs/>
          <w:sz w:val="26"/>
          <w:szCs w:val="26"/>
          <w:rtl/>
        </w:rPr>
        <w:t>לחם הפנים</w:t>
      </w:r>
      <w:r>
        <w:rPr>
          <w:rFonts w:ascii="Arial" w:hAnsi="Arial" w:hint="cs"/>
          <w:sz w:val="26"/>
          <w:szCs w:val="26"/>
          <w:rtl/>
        </w:rPr>
        <w:t>, בתרגום מילולי יש לומר, "לחם שיש לו פנים". מדוע "לחם שיש לו פנים"? רש"י אומר: לחם שצורתו היא בעלת שתי פנים  הנפנים לשני צדי ההיכל.</w:t>
      </w:r>
      <w:r>
        <w:rPr>
          <w:rStyle w:val="ad"/>
          <w:rFonts w:ascii="Arial" w:hAnsi="Arial"/>
          <w:sz w:val="26"/>
          <w:szCs w:val="26"/>
          <w:rtl/>
        </w:rPr>
        <w:footnoteReference w:id="4"/>
      </w:r>
      <w:r>
        <w:rPr>
          <w:rFonts w:ascii="Arial" w:hAnsi="Arial"/>
          <w:sz w:val="26"/>
          <w:szCs w:val="26"/>
          <w:rtl/>
        </w:rPr>
        <w:t xml:space="preserve"> </w:t>
      </w:r>
      <w:r>
        <w:rPr>
          <w:rFonts w:ascii="Arial" w:hAnsi="Arial" w:hint="cs"/>
          <w:sz w:val="26"/>
          <w:szCs w:val="26"/>
          <w:rtl/>
        </w:rPr>
        <w:t>לפי דברי אבן עזרא - שהוא כנראה פחות דתי מרש"י , אך גם הוא אמר דברים נפלאים - "לחם הפנים" הוא לחם שנמצא תמיד אל מול פני ה'.</w:t>
      </w:r>
      <w:r>
        <w:rPr>
          <w:rStyle w:val="ad"/>
          <w:rFonts w:ascii="Arial" w:hAnsi="Arial"/>
          <w:sz w:val="26"/>
          <w:szCs w:val="26"/>
          <w:rtl/>
        </w:rPr>
        <w:footnoteReference w:id="5"/>
      </w:r>
      <w:r>
        <w:rPr>
          <w:rFonts w:ascii="Arial" w:hAnsi="Arial"/>
          <w:sz w:val="26"/>
          <w:szCs w:val="26"/>
          <w:rtl/>
        </w:rPr>
        <w:t xml:space="preserve"> </w:t>
      </w:r>
      <w:r>
        <w:rPr>
          <w:rFonts w:ascii="Arial" w:hAnsi="Arial" w:hint="cs"/>
          <w:sz w:val="26"/>
          <w:szCs w:val="26"/>
          <w:rtl/>
        </w:rPr>
        <w:t xml:space="preserve">סבורני ששני הפירושים אינם רחוקים זה מזה; </w:t>
      </w:r>
      <w:r>
        <w:rPr>
          <w:rFonts w:ascii="Arial" w:hAnsi="Arial" w:hint="cs"/>
          <w:b/>
          <w:bCs/>
          <w:sz w:val="26"/>
          <w:szCs w:val="26"/>
          <w:rtl/>
        </w:rPr>
        <w:t>מה אתם רוצים שיעשה לחם הנמצא אל מול פני ה' אם לא לפנות ולהסתכל בבני האדם? מה תכליתו אם לא לזון בני-אדם?</w:t>
      </w:r>
      <w:r>
        <w:rPr>
          <w:rFonts w:ascii="Arial" w:hAnsi="Arial" w:hint="cs"/>
          <w:sz w:val="26"/>
          <w:szCs w:val="26"/>
          <w:rtl/>
        </w:rPr>
        <w:t xml:space="preserve"> הכיוון האופקי של המבט הוא השלמה למבט הבא מגבוה. אני יודע ש"אופקי" ו"אנכי" הם מושגים ש</w:t>
      </w:r>
      <w:r>
        <w:rPr>
          <w:rFonts w:ascii="Arial" w:hAnsi="Arial"/>
          <w:sz w:val="26"/>
          <w:szCs w:val="26"/>
          <w:rtl/>
        </w:rPr>
        <w:t>ד</w:t>
      </w:r>
      <w:r>
        <w:rPr>
          <w:rFonts w:ascii="Arial" w:hAnsi="Arial" w:hint="cs"/>
          <w:sz w:val="26"/>
          <w:szCs w:val="26"/>
          <w:rtl/>
        </w:rPr>
        <w:t xml:space="preserve">נים בהם עכשיו כאשר מבקשים את משמעות הדת. </w:t>
      </w:r>
      <w:r>
        <w:rPr>
          <w:rFonts w:ascii="Arial" w:hAnsi="Arial" w:hint="cs"/>
          <w:b/>
          <w:bCs/>
          <w:sz w:val="26"/>
          <w:szCs w:val="26"/>
          <w:rtl/>
        </w:rPr>
        <w:t>שני הכיוונים מכוונים, לדעתי, אותה תנועה</w:t>
      </w:r>
      <w:r>
        <w:rPr>
          <w:rFonts w:ascii="Arial" w:hAnsi="Arial" w:hint="cs"/>
          <w:sz w:val="26"/>
          <w:szCs w:val="26"/>
          <w:rtl/>
        </w:rPr>
        <w:t xml:space="preserve">... יש לציין שמדובר בלחם שאינו בראש וראשונה לחם קדוש; </w:t>
      </w:r>
      <w:r>
        <w:rPr>
          <w:rFonts w:ascii="Arial" w:hAnsi="Arial" w:hint="cs"/>
          <w:b/>
          <w:bCs/>
          <w:sz w:val="26"/>
          <w:szCs w:val="26"/>
          <w:rtl/>
        </w:rPr>
        <w:t>הוא בראש וראשונה לחם של הרעבים, ומשום כך הוא אולי גם לחם קדוש</w:t>
      </w:r>
      <w:r>
        <w:rPr>
          <w:rFonts w:cs="David" w:hint="cs"/>
          <w:b/>
          <w:bCs/>
          <w:sz w:val="26"/>
          <w:szCs w:val="26"/>
          <w:rtl/>
        </w:rPr>
        <w:t>.</w:t>
      </w:r>
      <w:r>
        <w:rPr>
          <w:rFonts w:cs="David" w:hint="cs"/>
          <w:sz w:val="26"/>
          <w:szCs w:val="26"/>
          <w:rtl/>
        </w:rPr>
        <w:t xml:space="preserve"> (</w:t>
      </w:r>
      <w:r>
        <w:rPr>
          <w:rFonts w:ascii="Arial" w:hAnsi="Arial" w:hint="cs"/>
          <w:i/>
          <w:iCs/>
          <w:sz w:val="26"/>
          <w:szCs w:val="26"/>
          <w:rtl/>
        </w:rPr>
        <w:t>מעבר לפסוק</w:t>
      </w:r>
      <w:r>
        <w:rPr>
          <w:rFonts w:cs="David" w:hint="cs"/>
          <w:i/>
          <w:iCs/>
          <w:sz w:val="26"/>
          <w:szCs w:val="26"/>
          <w:rtl/>
        </w:rPr>
        <w:t xml:space="preserve"> </w:t>
      </w:r>
      <w:r>
        <w:rPr>
          <w:rFonts w:cs="David" w:hint="cs"/>
          <w:sz w:val="26"/>
          <w:szCs w:val="26"/>
          <w:rtl/>
        </w:rPr>
        <w:t>39)</w:t>
      </w:r>
      <w:r>
        <w:rPr>
          <w:rFonts w:cs="David" w:hint="cs"/>
          <w:i/>
          <w:iCs/>
          <w:sz w:val="26"/>
          <w:szCs w:val="26"/>
          <w:rtl/>
        </w:rPr>
        <w:t xml:space="preserve"> </w:t>
      </w:r>
    </w:p>
    <w:p w:rsidR="004268D1" w:rsidRDefault="004268D1" w:rsidP="004268D1">
      <w:pPr>
        <w:spacing w:line="360" w:lineRule="auto"/>
        <w:jc w:val="both"/>
        <w:rPr>
          <w:rFonts w:ascii="Arial" w:hAnsi="Arial" w:cs="David"/>
          <w:sz w:val="26"/>
          <w:szCs w:val="26"/>
          <w:rtl/>
        </w:rPr>
      </w:pPr>
      <w:r>
        <w:rPr>
          <w:rFonts w:ascii="Arial" w:hAnsi="Arial" w:cs="David"/>
          <w:sz w:val="26"/>
          <w:szCs w:val="26"/>
          <w:rtl/>
        </w:rPr>
        <w:t xml:space="preserve">במקום הקדוש ביותר, הלחם הקדוש ביותר, קדוש משום היותו לחם של בני-אדם, משום שהוא כביכול מתבונן בפניהם של אנשים, או במילים אחרות, משום שהוא תזכורת מתמדת </w:t>
      </w:r>
      <w:r>
        <w:rPr>
          <w:rFonts w:ascii="Arial" w:hAnsi="Arial" w:cs="David" w:hint="cs"/>
          <w:sz w:val="26"/>
          <w:szCs w:val="26"/>
          <w:rtl/>
        </w:rPr>
        <w:t xml:space="preserve">לרואים אותו </w:t>
      </w:r>
      <w:r>
        <w:rPr>
          <w:rFonts w:ascii="Arial" w:hAnsi="Arial" w:cs="David"/>
          <w:sz w:val="26"/>
          <w:szCs w:val="26"/>
          <w:rtl/>
        </w:rPr>
        <w:t xml:space="preserve">לצורך לדאוג </w:t>
      </w:r>
      <w:r>
        <w:rPr>
          <w:rFonts w:ascii="Arial" w:hAnsi="Arial" w:cs="David"/>
          <w:sz w:val="26"/>
          <w:szCs w:val="26"/>
          <w:rtl/>
        </w:rPr>
        <w:lastRenderedPageBreak/>
        <w:t>למזונם של אנשים רעבים</w:t>
      </w:r>
      <w:r>
        <w:rPr>
          <w:rFonts w:ascii="Arial" w:hAnsi="Arial" w:cs="David" w:hint="cs"/>
          <w:sz w:val="26"/>
          <w:szCs w:val="26"/>
          <w:rtl/>
        </w:rPr>
        <w:t>, והא נאכל בסופו של דבר על-ידי הכוהנים</w:t>
      </w:r>
      <w:r>
        <w:rPr>
          <w:rFonts w:ascii="Arial" w:hAnsi="Arial" w:cs="David"/>
          <w:sz w:val="26"/>
          <w:szCs w:val="26"/>
          <w:rtl/>
        </w:rPr>
        <w:t>. "שלטונו של האל" הוא הפני</w:t>
      </w:r>
      <w:r>
        <w:rPr>
          <w:rFonts w:ascii="Arial" w:hAnsi="Arial" w:cs="David" w:hint="cs"/>
          <w:sz w:val="26"/>
          <w:szCs w:val="26"/>
          <w:rtl/>
        </w:rPr>
        <w:t>י</w:t>
      </w:r>
      <w:r>
        <w:rPr>
          <w:rFonts w:ascii="Arial" w:hAnsi="Arial" w:cs="David"/>
          <w:sz w:val="26"/>
          <w:szCs w:val="26"/>
          <w:rtl/>
        </w:rPr>
        <w:t>ה של אדם אל אדם אחר. זו מהותה של ה</w:t>
      </w:r>
      <w:r>
        <w:rPr>
          <w:rFonts w:ascii="Arial" w:hAnsi="Arial" w:cs="David" w:hint="cs"/>
          <w:sz w:val="26"/>
          <w:szCs w:val="26"/>
          <w:rtl/>
        </w:rPr>
        <w:t>"</w:t>
      </w:r>
      <w:r>
        <w:rPr>
          <w:rFonts w:ascii="Arial" w:hAnsi="Arial" w:cs="David"/>
          <w:sz w:val="26"/>
          <w:szCs w:val="26"/>
          <w:rtl/>
        </w:rPr>
        <w:t>דת</w:t>
      </w:r>
      <w:r>
        <w:rPr>
          <w:rFonts w:ascii="Arial" w:hAnsi="Arial" w:cs="David" w:hint="cs"/>
          <w:sz w:val="26"/>
          <w:szCs w:val="26"/>
          <w:rtl/>
        </w:rPr>
        <w:t>"</w:t>
      </w:r>
      <w:r>
        <w:rPr>
          <w:rFonts w:ascii="Arial" w:hAnsi="Arial" w:cs="David"/>
          <w:sz w:val="26"/>
          <w:szCs w:val="26"/>
          <w:rtl/>
        </w:rPr>
        <w:t xml:space="preserve">. קדושת מקום או חפץ, קשורה באופן שבו היא מפנה אנשים זה לזה. יותר משהיא תכונה, היא אתגר, משימה שיש למלאה. בית המקדש, כליו ופולחניו, קדושים כי הם מכוונים אנשים זה לזה, זה לרעב של האחר. </w:t>
      </w:r>
      <w:r>
        <w:rPr>
          <w:rFonts w:ascii="Arial" w:hAnsi="Arial" w:cs="David" w:hint="cs"/>
          <w:sz w:val="26"/>
          <w:szCs w:val="26"/>
          <w:rtl/>
        </w:rPr>
        <w:t xml:space="preserve">הציר האנכי לעולם אינו מנותק מן הציר האופקי. שניהם מכוונים לעיצוב חברה מתוקנת בה אנשים שבעים מאכילים את הרעבים ודואגים לצרכיהם.  </w:t>
      </w:r>
    </w:p>
    <w:p w:rsidR="004268D1" w:rsidRDefault="004268D1" w:rsidP="004268D1">
      <w:pPr>
        <w:spacing w:line="360" w:lineRule="auto"/>
        <w:jc w:val="both"/>
        <w:rPr>
          <w:rFonts w:ascii="Arial" w:hAnsi="Arial" w:cs="David"/>
          <w:sz w:val="26"/>
          <w:szCs w:val="26"/>
          <w:rtl/>
        </w:rPr>
      </w:pPr>
      <w:r>
        <w:rPr>
          <w:rFonts w:ascii="Arial" w:hAnsi="Arial" w:cs="David" w:hint="cs"/>
          <w:sz w:val="26"/>
          <w:szCs w:val="26"/>
          <w:rtl/>
        </w:rPr>
        <w:t>דוגמא נוספת נמצא בשיעור "נזקי האש"</w:t>
      </w:r>
      <w:r>
        <w:rPr>
          <w:rStyle w:val="ad"/>
          <w:rFonts w:ascii="Arial" w:hAnsi="Arial" w:cs="David"/>
          <w:sz w:val="26"/>
          <w:szCs w:val="26"/>
        </w:rPr>
        <w:footnoteReference w:id="6"/>
      </w:r>
      <w:r>
        <w:rPr>
          <w:rFonts w:ascii="Arial" w:hAnsi="Arial" w:cs="David" w:hint="cs"/>
          <w:sz w:val="26"/>
          <w:szCs w:val="26"/>
          <w:rtl/>
        </w:rPr>
        <w:t xml:space="preserve"> בפירוש לסוגיה ממסכת בבא קמא (ס ע"א </w:t>
      </w:r>
      <w:r>
        <w:rPr>
          <w:rFonts w:ascii="Arial" w:hAnsi="Arial" w:cs="David"/>
          <w:sz w:val="26"/>
          <w:szCs w:val="26"/>
          <w:rtl/>
        </w:rPr>
        <w:t>–</w:t>
      </w:r>
      <w:r>
        <w:rPr>
          <w:rFonts w:ascii="Arial" w:hAnsi="Arial" w:cs="David" w:hint="cs"/>
          <w:sz w:val="26"/>
          <w:szCs w:val="26"/>
          <w:rtl/>
        </w:rPr>
        <w:t xml:space="preserve"> ע"ב) העוסקת בנזקי האש. ניתנת שם רשימת הוראות לשעות פורענות ומצוקה. וכך כותב </w:t>
      </w:r>
      <w:proofErr w:type="spellStart"/>
      <w:r>
        <w:rPr>
          <w:rFonts w:ascii="Arial" w:hAnsi="Arial" w:cs="David" w:hint="cs"/>
          <w:sz w:val="26"/>
          <w:szCs w:val="26"/>
          <w:rtl/>
        </w:rPr>
        <w:t>לוינס</w:t>
      </w:r>
      <w:proofErr w:type="spellEnd"/>
      <w:r>
        <w:rPr>
          <w:rFonts w:ascii="Arial" w:hAnsi="Arial" w:cs="David" w:hint="cs"/>
          <w:sz w:val="26"/>
          <w:szCs w:val="26"/>
          <w:rtl/>
        </w:rPr>
        <w:t>:</w:t>
      </w:r>
    </w:p>
    <w:p w:rsidR="004268D1" w:rsidRPr="0082284F" w:rsidRDefault="004268D1" w:rsidP="0082284F">
      <w:pPr>
        <w:pStyle w:val="a9"/>
        <w:spacing w:line="360" w:lineRule="auto"/>
        <w:ind w:left="567" w:right="567"/>
        <w:rPr>
          <w:rFonts w:cs="Arial"/>
          <w:b w:val="0"/>
          <w:bCs w:val="0"/>
          <w:sz w:val="26"/>
          <w:szCs w:val="26"/>
          <w:rtl/>
        </w:rPr>
      </w:pPr>
      <w:r w:rsidRPr="0082284F">
        <w:rPr>
          <w:rFonts w:cs="Arial" w:hint="cs"/>
          <w:b w:val="0"/>
          <w:bCs w:val="0"/>
          <w:sz w:val="26"/>
          <w:szCs w:val="26"/>
          <w:rtl/>
        </w:rPr>
        <w:t>אין בריחה בהתבודדות! זהי</w:t>
      </w:r>
      <w:r w:rsidRPr="0082284F">
        <w:rPr>
          <w:rFonts w:cs="Arial"/>
          <w:b w:val="0"/>
          <w:bCs w:val="0"/>
          <w:sz w:val="26"/>
          <w:szCs w:val="26"/>
          <w:rtl/>
        </w:rPr>
        <w:t>ר</w:t>
      </w:r>
      <w:r w:rsidRPr="0082284F">
        <w:rPr>
          <w:rFonts w:cs="Arial" w:hint="cs"/>
          <w:b w:val="0"/>
          <w:bCs w:val="0"/>
          <w:sz w:val="26"/>
          <w:szCs w:val="26"/>
          <w:rtl/>
        </w:rPr>
        <w:t>ות משלום הפולחן הפרטי! זהירות מחלומות בבית-כנסת ריק!</w:t>
      </w:r>
    </w:p>
    <w:p w:rsidR="004268D1" w:rsidRPr="0082284F" w:rsidRDefault="004268D1" w:rsidP="0082284F">
      <w:pPr>
        <w:pStyle w:val="a9"/>
        <w:spacing w:line="360" w:lineRule="auto"/>
        <w:ind w:left="851" w:right="567"/>
        <w:rPr>
          <w:rFonts w:cs="Narkisim"/>
          <w:b w:val="0"/>
          <w:bCs w:val="0"/>
          <w:sz w:val="26"/>
          <w:szCs w:val="26"/>
          <w:rtl/>
        </w:rPr>
      </w:pPr>
      <w:r w:rsidRPr="0082284F">
        <w:rPr>
          <w:rFonts w:cs="Narkisim"/>
          <w:b w:val="0"/>
          <w:bCs w:val="0"/>
          <w:sz w:val="26"/>
          <w:szCs w:val="26"/>
          <w:rtl/>
        </w:rPr>
        <w:t>ת</w:t>
      </w:r>
      <w:r w:rsidRPr="0082284F">
        <w:rPr>
          <w:rFonts w:cs="Narkisim" w:hint="cs"/>
          <w:b w:val="0"/>
          <w:bCs w:val="0"/>
          <w:sz w:val="26"/>
          <w:szCs w:val="26"/>
          <w:rtl/>
        </w:rPr>
        <w:t xml:space="preserve">נו רבנן: דֶבר בעיר, אל יכנס אדם יחיד לבית הכנסת, שמלאך המוות מפקיד שם את כליו. </w:t>
      </w:r>
      <w:proofErr w:type="spellStart"/>
      <w:r w:rsidRPr="0082284F">
        <w:rPr>
          <w:rFonts w:cs="Narkisim" w:hint="cs"/>
          <w:b w:val="0"/>
          <w:bCs w:val="0"/>
          <w:sz w:val="26"/>
          <w:szCs w:val="26"/>
          <w:rtl/>
        </w:rPr>
        <w:t>והני</w:t>
      </w:r>
      <w:proofErr w:type="spellEnd"/>
      <w:r w:rsidRPr="0082284F">
        <w:rPr>
          <w:rFonts w:cs="Narkisim" w:hint="cs"/>
          <w:b w:val="0"/>
          <w:bCs w:val="0"/>
          <w:sz w:val="26"/>
          <w:szCs w:val="26"/>
          <w:rtl/>
        </w:rPr>
        <w:t xml:space="preserve"> מילי </w:t>
      </w:r>
      <w:proofErr w:type="spellStart"/>
      <w:r w:rsidRPr="0082284F">
        <w:rPr>
          <w:rFonts w:cs="Narkisim" w:hint="cs"/>
          <w:b w:val="0"/>
          <w:bCs w:val="0"/>
          <w:sz w:val="26"/>
          <w:szCs w:val="26"/>
          <w:rtl/>
        </w:rPr>
        <w:t>היכא</w:t>
      </w:r>
      <w:proofErr w:type="spellEnd"/>
      <w:r w:rsidRPr="0082284F">
        <w:rPr>
          <w:rFonts w:cs="Narkisim" w:hint="cs"/>
          <w:b w:val="0"/>
          <w:bCs w:val="0"/>
          <w:sz w:val="26"/>
          <w:szCs w:val="26"/>
          <w:rtl/>
        </w:rPr>
        <w:t xml:space="preserve"> דלא קרו </w:t>
      </w:r>
      <w:proofErr w:type="spellStart"/>
      <w:r w:rsidRPr="0082284F">
        <w:rPr>
          <w:rFonts w:cs="Narkisim" w:hint="cs"/>
          <w:b w:val="0"/>
          <w:bCs w:val="0"/>
          <w:sz w:val="26"/>
          <w:szCs w:val="26"/>
          <w:rtl/>
        </w:rPr>
        <w:t>ביה</w:t>
      </w:r>
      <w:proofErr w:type="spellEnd"/>
      <w:r w:rsidRPr="0082284F">
        <w:rPr>
          <w:rFonts w:cs="Narkisim" w:hint="cs"/>
          <w:b w:val="0"/>
          <w:bCs w:val="0"/>
          <w:sz w:val="26"/>
          <w:szCs w:val="26"/>
          <w:rtl/>
        </w:rPr>
        <w:t xml:space="preserve"> דרדקי ולא מצלו </w:t>
      </w:r>
      <w:proofErr w:type="spellStart"/>
      <w:r w:rsidRPr="0082284F">
        <w:rPr>
          <w:rFonts w:cs="Narkisim" w:hint="cs"/>
          <w:b w:val="0"/>
          <w:bCs w:val="0"/>
          <w:sz w:val="26"/>
          <w:szCs w:val="26"/>
          <w:rtl/>
        </w:rPr>
        <w:t>ביה</w:t>
      </w:r>
      <w:proofErr w:type="spellEnd"/>
      <w:r w:rsidRPr="0082284F">
        <w:rPr>
          <w:rFonts w:cs="Narkisim" w:hint="cs"/>
          <w:b w:val="0"/>
          <w:bCs w:val="0"/>
          <w:sz w:val="26"/>
          <w:szCs w:val="26"/>
          <w:rtl/>
        </w:rPr>
        <w:t xml:space="preserve"> עשרה. (</w:t>
      </w:r>
      <w:proofErr w:type="spellStart"/>
      <w:r w:rsidRPr="0082284F">
        <w:rPr>
          <w:rFonts w:cs="Narkisim" w:hint="cs"/>
          <w:b w:val="0"/>
          <w:bCs w:val="0"/>
          <w:sz w:val="26"/>
          <w:szCs w:val="26"/>
          <w:rtl/>
        </w:rPr>
        <w:t>ב"ק</w:t>
      </w:r>
      <w:proofErr w:type="spellEnd"/>
      <w:r w:rsidRPr="0082284F">
        <w:rPr>
          <w:rFonts w:cs="Narkisim" w:hint="cs"/>
          <w:b w:val="0"/>
          <w:bCs w:val="0"/>
          <w:sz w:val="26"/>
          <w:szCs w:val="26"/>
          <w:rtl/>
        </w:rPr>
        <w:t xml:space="preserve"> ס ע"ב) </w:t>
      </w:r>
    </w:p>
    <w:p w:rsidR="004268D1" w:rsidRPr="0082284F" w:rsidRDefault="004268D1" w:rsidP="0082284F">
      <w:pPr>
        <w:pStyle w:val="a9"/>
        <w:spacing w:line="360" w:lineRule="auto"/>
        <w:ind w:left="851" w:right="567"/>
        <w:rPr>
          <w:b w:val="0"/>
          <w:bCs w:val="0"/>
          <w:sz w:val="26"/>
          <w:szCs w:val="26"/>
          <w:rtl/>
        </w:rPr>
      </w:pPr>
      <w:r w:rsidRPr="0082284F">
        <w:rPr>
          <w:b w:val="0"/>
          <w:bCs w:val="0"/>
          <w:sz w:val="26"/>
          <w:szCs w:val="26"/>
          <w:rtl/>
        </w:rPr>
        <w:t>(</w:t>
      </w:r>
      <w:r w:rsidRPr="0082284F">
        <w:rPr>
          <w:rFonts w:hint="cs"/>
          <w:b w:val="0"/>
          <w:bCs w:val="0"/>
          <w:sz w:val="26"/>
          <w:szCs w:val="26"/>
          <w:rtl/>
        </w:rPr>
        <w:t xml:space="preserve">תרגום: </w:t>
      </w:r>
      <w:r w:rsidRPr="0082284F">
        <w:rPr>
          <w:b w:val="0"/>
          <w:bCs w:val="0"/>
          <w:sz w:val="26"/>
          <w:szCs w:val="26"/>
          <w:rtl/>
        </w:rPr>
        <w:t>דברים אלה במקום שאין לומדים בו ילדים תורה ולא מתפללים בו עשרה)</w:t>
      </w:r>
      <w:r w:rsidRPr="0082284F">
        <w:rPr>
          <w:rFonts w:hint="cs"/>
          <w:b w:val="0"/>
          <w:bCs w:val="0"/>
          <w:sz w:val="26"/>
          <w:szCs w:val="26"/>
          <w:rtl/>
        </w:rPr>
        <w:t>.</w:t>
      </w:r>
    </w:p>
    <w:p w:rsidR="004268D1" w:rsidRPr="0082284F" w:rsidRDefault="004268D1" w:rsidP="0082284F">
      <w:pPr>
        <w:pStyle w:val="a9"/>
        <w:spacing w:line="360" w:lineRule="auto"/>
        <w:ind w:left="567" w:right="567"/>
        <w:rPr>
          <w:rFonts w:cs="Arial"/>
          <w:b w:val="0"/>
          <w:bCs w:val="0"/>
          <w:sz w:val="26"/>
          <w:szCs w:val="26"/>
          <w:rtl/>
        </w:rPr>
      </w:pPr>
      <w:r w:rsidRPr="0082284F">
        <w:rPr>
          <w:rFonts w:cs="Arial" w:hint="cs"/>
          <w:b w:val="0"/>
          <w:bCs w:val="0"/>
          <w:sz w:val="26"/>
          <w:szCs w:val="26"/>
          <w:rtl/>
        </w:rPr>
        <w:t xml:space="preserve">אסור לחפש מקלט בשלום המדומה של בתי-הכנסת והכנסיות! כבר דיברנו על כך. אלא אם כן החיים מצויים שם, אם ילדים לומדים שם תורה ואם ציבור מתכנס שם לתפילה. אין שלווה בהתבודדות. אינני יודע מה היה חושב </w:t>
      </w:r>
      <w:proofErr w:type="spellStart"/>
      <w:r w:rsidRPr="0082284F">
        <w:rPr>
          <w:rFonts w:cs="Arial" w:hint="cs"/>
          <w:b w:val="0"/>
          <w:bCs w:val="0"/>
          <w:sz w:val="26"/>
          <w:szCs w:val="26"/>
          <w:rtl/>
        </w:rPr>
        <w:t>קלאוזביץ</w:t>
      </w:r>
      <w:proofErr w:type="spellEnd"/>
      <w:r w:rsidRPr="0082284F">
        <w:rPr>
          <w:rStyle w:val="ad"/>
          <w:rFonts w:cs="Arial"/>
          <w:b w:val="0"/>
          <w:bCs w:val="0"/>
          <w:sz w:val="26"/>
          <w:szCs w:val="26"/>
          <w:rtl/>
        </w:rPr>
        <w:footnoteReference w:id="7"/>
      </w:r>
      <w:r w:rsidRPr="0082284F">
        <w:rPr>
          <w:rFonts w:cs="Arial"/>
          <w:b w:val="0"/>
          <w:bCs w:val="0"/>
          <w:sz w:val="26"/>
          <w:szCs w:val="26"/>
          <w:rtl/>
        </w:rPr>
        <w:t xml:space="preserve"> </w:t>
      </w:r>
      <w:r w:rsidRPr="0082284F">
        <w:rPr>
          <w:rFonts w:cs="Arial" w:hint="cs"/>
          <w:b w:val="0"/>
          <w:bCs w:val="0"/>
          <w:sz w:val="26"/>
          <w:szCs w:val="26"/>
          <w:rtl/>
        </w:rPr>
        <w:t xml:space="preserve">על הדעה האומרת שכלי נשק מאוחסנים בבתי כנסת שאין בהם ציבור ובמקומות קדושים שאינם משמשים גם כבתי ספר. ואולם נראה ששם נולדות האידיאולוגיות, המהפכות וכל המחשבות הקטלניות. אם יש שם ילדים שקוראים בתורה, הכלים הקטלניים של </w:t>
      </w:r>
      <w:r w:rsidRPr="0082284F">
        <w:rPr>
          <w:rFonts w:cs="Arial"/>
          <w:b w:val="0"/>
          <w:bCs w:val="0"/>
          <w:sz w:val="26"/>
          <w:szCs w:val="26"/>
          <w:rtl/>
        </w:rPr>
        <w:t>ה</w:t>
      </w:r>
      <w:r w:rsidRPr="0082284F">
        <w:rPr>
          <w:rFonts w:cs="Arial" w:hint="cs"/>
          <w:b w:val="0"/>
          <w:bCs w:val="0"/>
          <w:sz w:val="26"/>
          <w:szCs w:val="26"/>
          <w:rtl/>
        </w:rPr>
        <w:t>חיים הפנימיים מאבדים מכוחם ההרסני. (</w:t>
      </w:r>
      <w:r w:rsidRPr="0082284F">
        <w:rPr>
          <w:rFonts w:cs="Arial" w:hint="cs"/>
          <w:b w:val="0"/>
          <w:bCs w:val="0"/>
          <w:i/>
          <w:iCs/>
          <w:sz w:val="26"/>
          <w:szCs w:val="26"/>
          <w:rtl/>
        </w:rPr>
        <w:t xml:space="preserve">תשע קריאות </w:t>
      </w:r>
      <w:r w:rsidRPr="0082284F">
        <w:rPr>
          <w:rFonts w:cs="Arial" w:hint="cs"/>
          <w:b w:val="0"/>
          <w:bCs w:val="0"/>
          <w:sz w:val="26"/>
          <w:szCs w:val="26"/>
          <w:rtl/>
        </w:rPr>
        <w:t>244)</w:t>
      </w:r>
    </w:p>
    <w:p w:rsidR="004268D1" w:rsidRDefault="004268D1" w:rsidP="004268D1">
      <w:pPr>
        <w:spacing w:line="360" w:lineRule="auto"/>
        <w:jc w:val="both"/>
        <w:rPr>
          <w:rFonts w:ascii="Arial" w:hAnsi="Arial" w:cs="David"/>
          <w:sz w:val="26"/>
          <w:szCs w:val="26"/>
        </w:rPr>
      </w:pPr>
      <w:r>
        <w:rPr>
          <w:rFonts w:cs="David"/>
          <w:sz w:val="26"/>
          <w:szCs w:val="26"/>
          <w:rtl/>
        </w:rPr>
        <w:t>מקום קדוש</w:t>
      </w:r>
      <w:r>
        <w:rPr>
          <w:rFonts w:cs="David" w:hint="cs"/>
          <w:sz w:val="26"/>
          <w:szCs w:val="26"/>
          <w:rtl/>
        </w:rPr>
        <w:t>, אפילו בית-כנסת,</w:t>
      </w:r>
      <w:r>
        <w:rPr>
          <w:rFonts w:cs="David"/>
          <w:sz w:val="26"/>
          <w:szCs w:val="26"/>
          <w:rtl/>
        </w:rPr>
        <w:t xml:space="preserve"> שאין בו אנשים </w:t>
      </w:r>
      <w:r>
        <w:rPr>
          <w:rFonts w:cs="David" w:hint="cs"/>
          <w:sz w:val="26"/>
          <w:szCs w:val="26"/>
          <w:rtl/>
        </w:rPr>
        <w:t>עלול להפוך בנסיבות מסוימות</w:t>
      </w:r>
      <w:r>
        <w:rPr>
          <w:rFonts w:cs="David"/>
          <w:sz w:val="26"/>
          <w:szCs w:val="26"/>
          <w:rtl/>
        </w:rPr>
        <w:t xml:space="preserve"> למקודש</w:t>
      </w:r>
      <w:r>
        <w:rPr>
          <w:rFonts w:cs="David" w:hint="cs"/>
          <w:sz w:val="26"/>
          <w:szCs w:val="26"/>
          <w:rtl/>
        </w:rPr>
        <w:t>.</w:t>
      </w:r>
      <w:r>
        <w:rPr>
          <w:rFonts w:cs="David"/>
          <w:sz w:val="26"/>
          <w:szCs w:val="26"/>
          <w:rtl/>
        </w:rPr>
        <w:t xml:space="preserve"> המקום הקדוש הריק, מאפשר לד</w:t>
      </w:r>
      <w:r>
        <w:rPr>
          <w:rFonts w:cs="David" w:hint="cs"/>
          <w:sz w:val="26"/>
          <w:szCs w:val="26"/>
          <w:rtl/>
        </w:rPr>
        <w:t>ַ</w:t>
      </w:r>
      <w:r>
        <w:rPr>
          <w:rFonts w:cs="David"/>
          <w:sz w:val="26"/>
          <w:szCs w:val="26"/>
          <w:rtl/>
        </w:rPr>
        <w:t>מות קדושה במנותק מאנשים, קדושה שהיא משום כך אשליה – אידיאולוגיה או מחשבה קטלנית. כאילו ניתן להתחבר או להתקרב אל ה</w:t>
      </w:r>
      <w:r>
        <w:rPr>
          <w:rFonts w:cs="David" w:hint="cs"/>
          <w:sz w:val="26"/>
          <w:szCs w:val="26"/>
          <w:rtl/>
        </w:rPr>
        <w:t>קודש</w:t>
      </w:r>
      <w:r>
        <w:rPr>
          <w:rFonts w:cs="David"/>
          <w:sz w:val="26"/>
          <w:szCs w:val="26"/>
          <w:rtl/>
        </w:rPr>
        <w:t xml:space="preserve"> באופן ישיר, בדבקות, אפילו בקנאות, ללא אנשים אחרים. רעיון שאינו קשור בקשר ישיר עם פניהם של בני-אדם מתדרדר בקלות לכדי אידיאולוגיה שמקדשת בשמה </w:t>
      </w:r>
      <w:proofErr w:type="spellStart"/>
      <w:r>
        <w:rPr>
          <w:rFonts w:cs="David"/>
          <w:sz w:val="26"/>
          <w:szCs w:val="26"/>
          <w:rtl/>
        </w:rPr>
        <w:t>הכל</w:t>
      </w:r>
      <w:proofErr w:type="spellEnd"/>
      <w:r>
        <w:rPr>
          <w:rFonts w:cs="David"/>
          <w:sz w:val="26"/>
          <w:szCs w:val="26"/>
          <w:rtl/>
        </w:rPr>
        <w:t>, כולל פגיעה בחיי אדם, אידיאולוגיה קטלנית. נוכחותם של אנשים במקום מדגישה את נפרדות הקדוש כמי שמצווה על הפני</w:t>
      </w:r>
      <w:r>
        <w:rPr>
          <w:rFonts w:cs="David" w:hint="cs"/>
          <w:sz w:val="26"/>
          <w:szCs w:val="26"/>
          <w:rtl/>
        </w:rPr>
        <w:t>י</w:t>
      </w:r>
      <w:r>
        <w:rPr>
          <w:rFonts w:cs="David"/>
          <w:sz w:val="26"/>
          <w:szCs w:val="26"/>
          <w:rtl/>
        </w:rPr>
        <w:t xml:space="preserve">ה אל אנשים אלה, מעמדה של אחרות, את הכוח שלו להפנות אותנו איש אל אחיו. ובמובן זה, נוכחותם של ילדים גורמת לכלים הקטלניים לאבד את כוחם. כאשר פני </w:t>
      </w:r>
      <w:r>
        <w:rPr>
          <w:rFonts w:cs="David"/>
          <w:sz w:val="26"/>
          <w:szCs w:val="26"/>
          <w:rtl/>
        </w:rPr>
        <w:lastRenderedPageBreak/>
        <w:t>הילד העומד מולך מתעמתים עם הרצון לתקן את העולם בשם אידיאל מקודש, בכל מחיר, אולי יש בכוחו להחזיר את הממד האנושי, הלא-מוחלט אל התודעה; המקודש יכול להפוך שוב לקדוש.</w:t>
      </w:r>
      <w:r>
        <w:rPr>
          <w:rFonts w:cs="David" w:hint="cs"/>
          <w:sz w:val="26"/>
          <w:szCs w:val="26"/>
          <w:rtl/>
        </w:rPr>
        <w:t xml:space="preserve"> מקום קדוש שאין בו פעילות אנושית הוא חממה מסוכנת לרעיונות המתנתקים ממשמעויותיהם החברתיות. </w:t>
      </w:r>
    </w:p>
    <w:p w:rsidR="004268D1" w:rsidRPr="0082284F" w:rsidRDefault="004268D1" w:rsidP="0082284F">
      <w:pPr>
        <w:pStyle w:val="a9"/>
        <w:spacing w:line="360" w:lineRule="auto"/>
        <w:rPr>
          <w:rFonts w:cs="David"/>
          <w:b w:val="0"/>
          <w:bCs w:val="0"/>
          <w:sz w:val="28"/>
          <w:szCs w:val="28"/>
          <w:rtl/>
        </w:rPr>
      </w:pPr>
      <w:r w:rsidRPr="0082284F">
        <w:rPr>
          <w:rFonts w:cs="David" w:hint="cs"/>
          <w:b w:val="0"/>
          <w:bCs w:val="0"/>
          <w:sz w:val="28"/>
          <w:szCs w:val="28"/>
          <w:rtl/>
        </w:rPr>
        <w:t xml:space="preserve">הקדושה נובעת מן התפילה של האנשים המתפללים יחדיו ומלימוד הילדים. </w:t>
      </w:r>
      <w:r w:rsidRPr="0082284F">
        <w:rPr>
          <w:rFonts w:cs="David"/>
          <w:b w:val="0"/>
          <w:bCs w:val="0"/>
          <w:sz w:val="28"/>
          <w:szCs w:val="28"/>
          <w:rtl/>
        </w:rPr>
        <w:t>האם נוכל לפיכך להרחיק לכת ולומר שכל פעולה או חפץ פולחני שאין עמו התניה והתכוונות לכך שבעומקם של דברים, מעשים או חפצים אלה מפנים אותנו אל אחריותנו לאדם האחר היא גילוי של ה</w:t>
      </w:r>
      <w:r w:rsidRPr="0082284F">
        <w:rPr>
          <w:rFonts w:cs="David" w:hint="cs"/>
          <w:b w:val="0"/>
          <w:bCs w:val="0"/>
          <w:sz w:val="28"/>
          <w:szCs w:val="28"/>
          <w:rtl/>
        </w:rPr>
        <w:t>קודש</w:t>
      </w:r>
      <w:r w:rsidRPr="0082284F">
        <w:rPr>
          <w:rFonts w:cs="David"/>
          <w:b w:val="0"/>
          <w:bCs w:val="0"/>
          <w:sz w:val="28"/>
          <w:szCs w:val="28"/>
          <w:rtl/>
        </w:rPr>
        <w:t xml:space="preserve"> ולא של </w:t>
      </w:r>
      <w:r w:rsidRPr="0082284F">
        <w:rPr>
          <w:rFonts w:cs="David" w:hint="cs"/>
          <w:b w:val="0"/>
          <w:bCs w:val="0"/>
          <w:sz w:val="28"/>
          <w:szCs w:val="28"/>
          <w:rtl/>
        </w:rPr>
        <w:t>הקדושה</w:t>
      </w:r>
      <w:r w:rsidRPr="0082284F">
        <w:rPr>
          <w:rFonts w:cs="David"/>
          <w:b w:val="0"/>
          <w:bCs w:val="0"/>
          <w:sz w:val="28"/>
          <w:szCs w:val="28"/>
          <w:rtl/>
        </w:rPr>
        <w:t>? כנראה שכן. ייתכן מאוד שקיום מצווה שבין אדם למקום כמטרה בפני עצמה, ולא כהתניה של כושרי לציית לציווי, כפגישה עם האחר, כבנייה של מבנה פנימי המפנה אותי אל פני זולתי, אינה מעשה שיש בו קדושה והיא שייכת לתחום ה</w:t>
      </w:r>
      <w:r w:rsidRPr="0082284F">
        <w:rPr>
          <w:rFonts w:cs="David" w:hint="cs"/>
          <w:b w:val="0"/>
          <w:bCs w:val="0"/>
          <w:sz w:val="28"/>
          <w:szCs w:val="28"/>
          <w:rtl/>
        </w:rPr>
        <w:t>קודש</w:t>
      </w:r>
      <w:r w:rsidRPr="0082284F">
        <w:rPr>
          <w:rFonts w:cs="David"/>
          <w:b w:val="0"/>
          <w:bCs w:val="0"/>
          <w:sz w:val="28"/>
          <w:szCs w:val="28"/>
          <w:rtl/>
        </w:rPr>
        <w:t xml:space="preserve">.  </w:t>
      </w:r>
    </w:p>
    <w:p w:rsidR="004268D1" w:rsidRDefault="004268D1" w:rsidP="004268D1">
      <w:pPr>
        <w:spacing w:line="360" w:lineRule="auto"/>
        <w:jc w:val="both"/>
        <w:rPr>
          <w:rFonts w:cs="David"/>
          <w:sz w:val="26"/>
          <w:szCs w:val="26"/>
          <w:rtl/>
        </w:rPr>
      </w:pPr>
      <w:r>
        <w:rPr>
          <w:rFonts w:cs="David" w:hint="cs"/>
          <w:sz w:val="26"/>
          <w:szCs w:val="26"/>
          <w:rtl/>
        </w:rPr>
        <w:t>אך לפני הסקת מסקנה זו תיבדק הדוגמא האחרונה הלקוחה מן השיעור "ערי מקלט"</w:t>
      </w:r>
      <w:r>
        <w:rPr>
          <w:rStyle w:val="ad"/>
          <w:rFonts w:cs="David"/>
          <w:sz w:val="26"/>
          <w:szCs w:val="26"/>
        </w:rPr>
        <w:footnoteReference w:id="8"/>
      </w:r>
      <w:r>
        <w:rPr>
          <w:rFonts w:cs="David" w:hint="cs"/>
          <w:sz w:val="26"/>
          <w:szCs w:val="26"/>
          <w:rtl/>
        </w:rPr>
        <w:t xml:space="preserve"> הדן בקדושתה של ירושלים:</w:t>
      </w:r>
    </w:p>
    <w:p w:rsidR="004268D1" w:rsidRDefault="004268D1" w:rsidP="004268D1">
      <w:pPr>
        <w:spacing w:line="360" w:lineRule="auto"/>
        <w:ind w:left="567" w:right="567"/>
        <w:jc w:val="both"/>
        <w:rPr>
          <w:rFonts w:ascii="Arial" w:hAnsi="Arial"/>
          <w:sz w:val="26"/>
          <w:szCs w:val="26"/>
          <w:rtl/>
        </w:rPr>
      </w:pPr>
      <w:r>
        <w:rPr>
          <w:rFonts w:ascii="Arial" w:hAnsi="Arial" w:hint="cs"/>
          <w:sz w:val="26"/>
          <w:szCs w:val="26"/>
          <w:rtl/>
        </w:rPr>
        <w:t>שלום דתי ללא צדק בעיר הארצית אינו אפשרי עבור ישראל או לפי ישראל. אין ממד אנכי ללא ממד אופקי. הצדק הוא תחנה הכרחית בדרך לכל התעלות... אין דרך להגיע אל השלום מלבד זו העוברת דרך משכנם של בני-אדם. (</w:t>
      </w:r>
      <w:r>
        <w:rPr>
          <w:rFonts w:ascii="Arial" w:hAnsi="Arial" w:hint="cs"/>
          <w:i/>
          <w:iCs/>
          <w:sz w:val="26"/>
          <w:szCs w:val="26"/>
          <w:rtl/>
        </w:rPr>
        <w:t xml:space="preserve">מעבר לפסוק </w:t>
      </w:r>
      <w:r>
        <w:rPr>
          <w:rFonts w:ascii="Arial" w:hAnsi="Arial" w:hint="cs"/>
          <w:sz w:val="26"/>
          <w:szCs w:val="26"/>
          <w:rtl/>
        </w:rPr>
        <w:t>62)</w:t>
      </w:r>
    </w:p>
    <w:p w:rsidR="004268D1" w:rsidRDefault="004268D1" w:rsidP="004268D1">
      <w:pPr>
        <w:pStyle w:val="Normal14"/>
        <w:bidi/>
        <w:rPr>
          <w:rFonts w:ascii="Arial" w:hAnsi="Arial" w:cs="David"/>
          <w:sz w:val="26"/>
          <w:szCs w:val="26"/>
          <w:rtl/>
        </w:rPr>
      </w:pPr>
      <w:r>
        <w:rPr>
          <w:rFonts w:cs="David" w:hint="cs"/>
          <w:sz w:val="26"/>
          <w:szCs w:val="26"/>
          <w:rtl/>
        </w:rPr>
        <w:t xml:space="preserve">קדושתה של ירושלים אינה בשמים במנותק מן הארץ. </w:t>
      </w:r>
      <w:r>
        <w:rPr>
          <w:rFonts w:ascii="Arial" w:hAnsi="Arial" w:cs="David" w:hint="cs"/>
          <w:sz w:val="26"/>
          <w:szCs w:val="26"/>
          <w:rtl/>
        </w:rPr>
        <w:t xml:space="preserve">אין שלום "דתי" ללא צדק ואין קדושה במנותק מן השלום. אין משמעות לדיבור על קדושת ירושלים שאינה כרוכה במציאות האנושית הקוראת שם. קדושת ירושלים היא "התקווה למדע חברתי ולחברה אנושית לחלוטין" (שם 78). לא אכנס כאן לפרטי המהלך של </w:t>
      </w:r>
      <w:proofErr w:type="spellStart"/>
      <w:r>
        <w:rPr>
          <w:rFonts w:ascii="Arial" w:hAnsi="Arial" w:cs="David" w:hint="cs"/>
          <w:sz w:val="26"/>
          <w:szCs w:val="26"/>
          <w:rtl/>
        </w:rPr>
        <w:t>לוינס</w:t>
      </w:r>
      <w:proofErr w:type="spellEnd"/>
      <w:r>
        <w:rPr>
          <w:rFonts w:ascii="Arial" w:hAnsi="Arial" w:cs="David" w:hint="cs"/>
          <w:sz w:val="26"/>
          <w:szCs w:val="26"/>
          <w:rtl/>
        </w:rPr>
        <w:t xml:space="preserve"> שבו הוא טוען שירושלים צריכה להוות דוגמא לעיר שבה מתקיים צדק יותר מאשר בכל עיר אחרת, אך זהו הטיעון שנבנה בשיעור זה.</w:t>
      </w:r>
    </w:p>
    <w:p w:rsidR="00F56180" w:rsidRDefault="004268D1">
      <w:pPr>
        <w:spacing w:line="360" w:lineRule="auto"/>
        <w:jc w:val="both"/>
        <w:rPr>
          <w:sz w:val="24"/>
          <w:rtl/>
        </w:rPr>
      </w:pPr>
      <w:r>
        <w:rPr>
          <w:rFonts w:cs="David" w:hint="cs"/>
          <w:sz w:val="26"/>
          <w:szCs w:val="26"/>
          <w:rtl/>
        </w:rPr>
        <w:t>המשותף לכל הדוגמאות הללו הוא שהקדושה הנזכרת בהם אינה תכונה בפני עצמה.</w:t>
      </w:r>
      <w:r>
        <w:rPr>
          <w:rStyle w:val="ad"/>
          <w:rFonts w:cs="David"/>
          <w:sz w:val="26"/>
          <w:szCs w:val="26"/>
        </w:rPr>
        <w:footnoteReference w:id="9"/>
      </w:r>
      <w:r>
        <w:rPr>
          <w:rFonts w:cs="David" w:hint="cs"/>
          <w:sz w:val="26"/>
          <w:szCs w:val="26"/>
          <w:rtl/>
        </w:rPr>
        <w:t xml:space="preserve"> היא תלויה בהיותה משרתת מטרה בין אישית. הלחם קדוש כי הוא לחמם של בני-אדם ונועד להזכיר את החובה לדאוג לרעבים; בית-הכנסת קדוש אם מתפללים בו או לומדים בו קבוצות של אנשים ולא אדם בודד עם אלוהיו; </w:t>
      </w:r>
      <w:r>
        <w:rPr>
          <w:rFonts w:cs="David" w:hint="cs"/>
          <w:sz w:val="26"/>
          <w:szCs w:val="26"/>
          <w:rtl/>
        </w:rPr>
        <w:lastRenderedPageBreak/>
        <w:t>וירושלים קדושה אם דרכה אפשר ללמוד על צדק חברתי בתוך עיר. ובכל הדוגמאות נאמר במפורש שלא ניתן לנתק</w:t>
      </w:r>
      <w:r>
        <w:rPr>
          <w:rFonts w:cs="David"/>
          <w:sz w:val="26"/>
          <w:szCs w:val="26"/>
        </w:rPr>
        <w:t xml:space="preserve"> </w:t>
      </w:r>
      <w:r>
        <w:rPr>
          <w:rFonts w:cs="David" w:hint="cs"/>
          <w:sz w:val="26"/>
          <w:szCs w:val="26"/>
          <w:rtl/>
        </w:rPr>
        <w:t xml:space="preserve"> את הדתי מן החברתי, את האנכי מן האופקי </w:t>
      </w:r>
      <w:r>
        <w:rPr>
          <w:rStyle w:val="ad"/>
          <w:rFonts w:cs="David"/>
          <w:sz w:val="26"/>
          <w:szCs w:val="26"/>
        </w:rPr>
        <w:footnoteReference w:id="10"/>
      </w:r>
      <w:r w:rsidR="0082284F">
        <w:rPr>
          <w:rFonts w:hint="cs"/>
          <w:rtl/>
        </w:rPr>
        <w:t xml:space="preserve"> (שם, </w:t>
      </w:r>
      <w:proofErr w:type="spellStart"/>
      <w:r w:rsidR="0082284F">
        <w:rPr>
          <w:rFonts w:hint="cs"/>
          <w:rtl/>
        </w:rPr>
        <w:t>עמ</w:t>
      </w:r>
      <w:proofErr w:type="spellEnd"/>
      <w:r w:rsidR="0082284F">
        <w:rPr>
          <w:rFonts w:hint="cs"/>
          <w:rtl/>
        </w:rPr>
        <w:t xml:space="preserve">' </w:t>
      </w:r>
      <w:proofErr w:type="spellStart"/>
      <w:r w:rsidR="0082284F">
        <w:rPr>
          <w:rFonts w:hint="cs"/>
          <w:rtl/>
        </w:rPr>
        <w:t>154</w:t>
      </w:r>
      <w:r w:rsidR="001B4077">
        <w:rPr>
          <w:rFonts w:hint="eastAsia"/>
          <w:rtl/>
        </w:rPr>
        <w:t>–</w:t>
      </w:r>
      <w:r w:rsidR="0082284F">
        <w:rPr>
          <w:rFonts w:hint="cs"/>
          <w:rtl/>
        </w:rPr>
        <w:t>158</w:t>
      </w:r>
      <w:proofErr w:type="spellEnd"/>
      <w:r w:rsidR="0082284F">
        <w:rPr>
          <w:rFonts w:hint="cs"/>
          <w:rtl/>
        </w:rPr>
        <w:t>)</w:t>
      </w:r>
    </w:p>
    <w:sectPr w:rsidR="00F56180" w:rsidSect="00567C25">
      <w:headerReference w:type="default" r:id="rId7"/>
      <w:footerReference w:type="default" r:id="rId8"/>
      <w:pgSz w:w="11906" w:h="16838" w:code="9"/>
      <w:pgMar w:top="1440" w:right="1080" w:bottom="1440" w:left="1080" w:header="360"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80" w:rsidRDefault="00F56180" w:rsidP="00207073">
      <w:pPr>
        <w:spacing w:after="0" w:line="240" w:lineRule="auto"/>
      </w:pPr>
      <w:r>
        <w:separator/>
      </w:r>
    </w:p>
  </w:endnote>
  <w:endnote w:type="continuationSeparator" w:id="0">
    <w:p w:rsidR="00F56180" w:rsidRDefault="00F56180" w:rsidP="00207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F9" w:rsidRDefault="00496E1C" w:rsidP="00925F61">
    <w:pPr>
      <w:pStyle w:val="a5"/>
      <w:rPr>
        <w:rtl/>
      </w:rPr>
    </w:pPr>
    <w:r>
      <w:rPr>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-93345</wp:posOffset>
          </wp:positionV>
          <wp:extent cx="6972300" cy="987425"/>
          <wp:effectExtent l="19050" t="0" r="0" b="0"/>
          <wp:wrapNone/>
          <wp:docPr id="4" name="תמונה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srcRect/>
                  <a:stretch>
                    <a:fillRect/>
                  </a:stretch>
                </pic:blipFill>
                <pic:spPr bwMode="auto">
                  <a:xfrm>
                    <a:off x="0" y="0"/>
                    <a:ext cx="6972300" cy="987425"/>
                  </a:xfrm>
                  <a:prstGeom prst="rect">
                    <a:avLst/>
                  </a:prstGeom>
                  <a:noFill/>
                  <a:ln w="9525">
                    <a:noFill/>
                    <a:miter lim="800000"/>
                    <a:headEnd/>
                    <a:tailEnd/>
                  </a:ln>
                </pic:spPr>
              </pic:pic>
            </a:graphicData>
          </a:graphic>
        </wp:anchor>
      </w:drawing>
    </w:r>
  </w:p>
  <w:p w:rsidR="001842F9" w:rsidRDefault="001842F9" w:rsidP="00925F61">
    <w:pPr>
      <w:pStyle w:val="a5"/>
      <w:rPr>
        <w:rtl/>
      </w:rPr>
    </w:pPr>
  </w:p>
  <w:p w:rsidR="001842F9" w:rsidRDefault="001842F9" w:rsidP="00925F61">
    <w:pPr>
      <w:pStyle w:val="a5"/>
    </w:pPr>
  </w:p>
  <w:p w:rsidR="001842F9" w:rsidRDefault="001842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80" w:rsidRDefault="00F56180" w:rsidP="00207073">
      <w:pPr>
        <w:spacing w:after="0" w:line="240" w:lineRule="auto"/>
      </w:pPr>
      <w:r>
        <w:separator/>
      </w:r>
    </w:p>
  </w:footnote>
  <w:footnote w:type="continuationSeparator" w:id="0">
    <w:p w:rsidR="00F56180" w:rsidRDefault="00F56180" w:rsidP="00207073">
      <w:pPr>
        <w:spacing w:after="0" w:line="240" w:lineRule="auto"/>
      </w:pPr>
      <w:r>
        <w:continuationSeparator/>
      </w:r>
    </w:p>
  </w:footnote>
  <w:footnote w:id="1">
    <w:p w:rsidR="004268D1" w:rsidRPr="00655EFB" w:rsidRDefault="004268D1" w:rsidP="001D677A">
      <w:pPr>
        <w:pStyle w:val="ab"/>
        <w:rPr>
          <w:rFonts w:cs="David"/>
          <w:sz w:val="22"/>
          <w:szCs w:val="22"/>
          <w:rtl/>
        </w:rPr>
      </w:pPr>
      <w:r w:rsidRPr="00655EFB">
        <w:rPr>
          <w:rStyle w:val="ad"/>
          <w:rFonts w:cs="David"/>
          <w:sz w:val="22"/>
          <w:szCs w:val="22"/>
        </w:rPr>
        <w:footnoteRef/>
      </w:r>
      <w:r w:rsidRPr="00655EFB">
        <w:rPr>
          <w:rFonts w:cs="David"/>
          <w:sz w:val="22"/>
          <w:szCs w:val="22"/>
        </w:rPr>
        <w:t xml:space="preserve"> </w:t>
      </w:r>
      <w:r w:rsidRPr="00655EFB">
        <w:rPr>
          <w:rFonts w:cs="David" w:hint="cs"/>
          <w:sz w:val="22"/>
          <w:szCs w:val="22"/>
          <w:rtl/>
        </w:rPr>
        <w:t xml:space="preserve"> </w:t>
      </w:r>
      <w:r w:rsidR="004C3FE1" w:rsidRPr="004C3FE1">
        <w:rPr>
          <w:rFonts w:cs="David" w:hint="eastAsia"/>
          <w:b/>
          <w:bCs/>
          <w:sz w:val="22"/>
          <w:szCs w:val="22"/>
          <w:rtl/>
        </w:rPr>
        <w:t>תשע</w:t>
      </w:r>
      <w:r w:rsidR="004C3FE1" w:rsidRPr="004C3FE1">
        <w:rPr>
          <w:rFonts w:cs="David"/>
          <w:b/>
          <w:bCs/>
          <w:sz w:val="22"/>
          <w:szCs w:val="22"/>
          <w:rtl/>
        </w:rPr>
        <w:t xml:space="preserve"> </w:t>
      </w:r>
      <w:r w:rsidR="004C3FE1" w:rsidRPr="004C3FE1">
        <w:rPr>
          <w:rFonts w:cs="David" w:hint="eastAsia"/>
          <w:b/>
          <w:bCs/>
          <w:sz w:val="22"/>
          <w:szCs w:val="22"/>
          <w:rtl/>
        </w:rPr>
        <w:t>קריאות</w:t>
      </w:r>
      <w:r w:rsidR="001D677A">
        <w:rPr>
          <w:rFonts w:cs="David" w:hint="cs"/>
          <w:b/>
          <w:bCs/>
          <w:sz w:val="22"/>
          <w:szCs w:val="22"/>
          <w:rtl/>
        </w:rPr>
        <w:t>,</w:t>
      </w:r>
      <w:r>
        <w:rPr>
          <w:rFonts w:cs="David" w:hint="cs"/>
          <w:i/>
          <w:iCs/>
          <w:sz w:val="22"/>
          <w:szCs w:val="22"/>
          <w:rtl/>
        </w:rPr>
        <w:t xml:space="preserve"> </w:t>
      </w:r>
      <w:proofErr w:type="spellStart"/>
      <w:r>
        <w:rPr>
          <w:rFonts w:cs="David" w:hint="cs"/>
          <w:sz w:val="22"/>
          <w:szCs w:val="22"/>
          <w:rtl/>
        </w:rPr>
        <w:t>עמ</w:t>
      </w:r>
      <w:proofErr w:type="spellEnd"/>
      <w:r>
        <w:rPr>
          <w:rFonts w:cs="David" w:hint="cs"/>
          <w:sz w:val="22"/>
          <w:szCs w:val="22"/>
          <w:rtl/>
        </w:rPr>
        <w:t>'</w:t>
      </w:r>
      <w:r w:rsidRPr="00655EFB">
        <w:rPr>
          <w:rFonts w:cs="David" w:hint="cs"/>
          <w:i/>
          <w:iCs/>
          <w:sz w:val="22"/>
          <w:szCs w:val="22"/>
          <w:rtl/>
        </w:rPr>
        <w:t xml:space="preserve"> </w:t>
      </w:r>
      <w:proofErr w:type="spellStart"/>
      <w:r w:rsidRPr="00655EFB">
        <w:rPr>
          <w:rFonts w:cs="David" w:hint="cs"/>
          <w:sz w:val="22"/>
          <w:szCs w:val="22"/>
          <w:rtl/>
        </w:rPr>
        <w:t>175</w:t>
      </w:r>
      <w:r w:rsidRPr="00655EFB">
        <w:rPr>
          <w:rFonts w:cs="David"/>
          <w:sz w:val="22"/>
          <w:szCs w:val="22"/>
          <w:rtl/>
        </w:rPr>
        <w:t>–</w:t>
      </w:r>
      <w:r w:rsidRPr="00655EFB">
        <w:rPr>
          <w:rFonts w:cs="David" w:hint="cs"/>
          <w:sz w:val="22"/>
          <w:szCs w:val="22"/>
          <w:rtl/>
        </w:rPr>
        <w:t>204</w:t>
      </w:r>
      <w:proofErr w:type="spellEnd"/>
      <w:r w:rsidRPr="00655EFB">
        <w:rPr>
          <w:rFonts w:cs="David" w:hint="cs"/>
          <w:sz w:val="22"/>
          <w:szCs w:val="22"/>
          <w:rtl/>
        </w:rPr>
        <w:t xml:space="preserve">. על יחסו של </w:t>
      </w:r>
      <w:proofErr w:type="spellStart"/>
      <w:r w:rsidRPr="00655EFB">
        <w:rPr>
          <w:rFonts w:cs="David" w:hint="cs"/>
          <w:sz w:val="22"/>
          <w:szCs w:val="22"/>
          <w:rtl/>
        </w:rPr>
        <w:t>לוינס</w:t>
      </w:r>
      <w:proofErr w:type="spellEnd"/>
      <w:r w:rsidRPr="00655EFB">
        <w:rPr>
          <w:rFonts w:cs="David" w:hint="cs"/>
          <w:sz w:val="22"/>
          <w:szCs w:val="22"/>
          <w:rtl/>
        </w:rPr>
        <w:t xml:space="preserve"> לקדושה</w:t>
      </w:r>
      <w:r w:rsidR="001D677A">
        <w:rPr>
          <w:rFonts w:cs="David" w:hint="cs"/>
          <w:sz w:val="22"/>
          <w:szCs w:val="22"/>
          <w:rtl/>
        </w:rPr>
        <w:t>,</w:t>
      </w:r>
      <w:r w:rsidRPr="00655EFB">
        <w:rPr>
          <w:rFonts w:cs="David" w:hint="cs"/>
          <w:sz w:val="22"/>
          <w:szCs w:val="22"/>
          <w:rtl/>
        </w:rPr>
        <w:t xml:space="preserve"> ראו</w:t>
      </w:r>
      <w:r>
        <w:rPr>
          <w:rFonts w:cs="David" w:hint="cs"/>
          <w:sz w:val="22"/>
          <w:szCs w:val="22"/>
          <w:rtl/>
        </w:rPr>
        <w:t xml:space="preserve"> שמואל </w:t>
      </w:r>
      <w:proofErr w:type="spellStart"/>
      <w:r w:rsidRPr="00655EFB">
        <w:rPr>
          <w:rFonts w:cs="David" w:hint="cs"/>
          <w:sz w:val="22"/>
          <w:szCs w:val="22"/>
          <w:rtl/>
        </w:rPr>
        <w:t>ויגודה</w:t>
      </w:r>
      <w:proofErr w:type="spellEnd"/>
      <w:r>
        <w:rPr>
          <w:rFonts w:cs="David" w:hint="cs"/>
          <w:sz w:val="22"/>
          <w:szCs w:val="22"/>
          <w:rtl/>
        </w:rPr>
        <w:t>,</w:t>
      </w:r>
      <w:r w:rsidRPr="00655EFB">
        <w:rPr>
          <w:rFonts w:cs="David" w:hint="cs"/>
          <w:sz w:val="22"/>
          <w:szCs w:val="22"/>
          <w:rtl/>
        </w:rPr>
        <w:t xml:space="preserve"> </w:t>
      </w:r>
      <w:r w:rsidR="001D677A">
        <w:rPr>
          <w:rFonts w:cs="David" w:hint="cs"/>
          <w:sz w:val="22"/>
          <w:szCs w:val="22"/>
          <w:rtl/>
        </w:rPr>
        <w:t>'</w:t>
      </w:r>
      <w:r w:rsidRPr="00655EFB">
        <w:rPr>
          <w:rFonts w:cs="David" w:hint="cs"/>
          <w:sz w:val="22"/>
          <w:szCs w:val="22"/>
          <w:rtl/>
        </w:rPr>
        <w:t xml:space="preserve">פרשת ויקרא: קדושה כאתיקה לאור משנתו הפילוסופית של עמנואל </w:t>
      </w:r>
      <w:proofErr w:type="spellStart"/>
      <w:r w:rsidRPr="00655EFB">
        <w:rPr>
          <w:rFonts w:cs="David" w:hint="cs"/>
          <w:sz w:val="22"/>
          <w:szCs w:val="22"/>
          <w:rtl/>
        </w:rPr>
        <w:t>לוינס</w:t>
      </w:r>
      <w:proofErr w:type="spellEnd"/>
      <w:r w:rsidR="001D677A">
        <w:rPr>
          <w:rFonts w:cs="David" w:hint="cs"/>
          <w:sz w:val="22"/>
          <w:szCs w:val="22"/>
          <w:rtl/>
        </w:rPr>
        <w:t>'</w:t>
      </w:r>
      <w:r w:rsidRPr="00655EFB">
        <w:rPr>
          <w:rFonts w:cs="David" w:hint="cs"/>
          <w:sz w:val="22"/>
          <w:szCs w:val="22"/>
          <w:rtl/>
        </w:rPr>
        <w:t>,</w:t>
      </w:r>
      <w:r w:rsidR="001D677A">
        <w:rPr>
          <w:rFonts w:cs="David" w:hint="cs"/>
          <w:sz w:val="22"/>
          <w:szCs w:val="22"/>
          <w:rtl/>
        </w:rPr>
        <w:t xml:space="preserve"> נפתלי רוטנברג (עורך),</w:t>
      </w:r>
      <w:r w:rsidRPr="00655EFB">
        <w:rPr>
          <w:rFonts w:cs="David" w:hint="cs"/>
          <w:sz w:val="22"/>
          <w:szCs w:val="22"/>
          <w:rtl/>
        </w:rPr>
        <w:t xml:space="preserve"> </w:t>
      </w:r>
      <w:r w:rsidR="004C3FE1" w:rsidRPr="004C3FE1">
        <w:rPr>
          <w:rFonts w:cs="David" w:hint="eastAsia"/>
          <w:b/>
          <w:bCs/>
          <w:sz w:val="22"/>
          <w:szCs w:val="22"/>
          <w:rtl/>
        </w:rPr>
        <w:t>הוגים</w:t>
      </w:r>
      <w:r w:rsidR="004C3FE1" w:rsidRPr="004C3FE1">
        <w:rPr>
          <w:rFonts w:cs="David"/>
          <w:b/>
          <w:bCs/>
          <w:sz w:val="22"/>
          <w:szCs w:val="22"/>
          <w:rtl/>
        </w:rPr>
        <w:t xml:space="preserve"> </w:t>
      </w:r>
      <w:r w:rsidR="004C3FE1" w:rsidRPr="004C3FE1">
        <w:rPr>
          <w:rFonts w:cs="David" w:hint="eastAsia"/>
          <w:b/>
          <w:bCs/>
          <w:sz w:val="22"/>
          <w:szCs w:val="22"/>
          <w:rtl/>
        </w:rPr>
        <w:t>בפרשה</w:t>
      </w:r>
      <w:r w:rsidR="001D677A">
        <w:rPr>
          <w:rFonts w:cs="David" w:hint="cs"/>
          <w:sz w:val="22"/>
          <w:szCs w:val="22"/>
          <w:rtl/>
        </w:rPr>
        <w:t>,</w:t>
      </w:r>
      <w:r w:rsidRPr="001330E9">
        <w:rPr>
          <w:rFonts w:cs="David" w:hint="cs"/>
          <w:sz w:val="22"/>
          <w:szCs w:val="22"/>
          <w:rtl/>
        </w:rPr>
        <w:t xml:space="preserve"> </w:t>
      </w:r>
      <w:r w:rsidR="001D677A">
        <w:rPr>
          <w:rFonts w:cs="David" w:hint="cs"/>
          <w:sz w:val="22"/>
          <w:szCs w:val="22"/>
          <w:rtl/>
        </w:rPr>
        <w:t xml:space="preserve">ירושלים: </w:t>
      </w:r>
      <w:proofErr w:type="spellStart"/>
      <w:r w:rsidR="001D677A">
        <w:rPr>
          <w:rFonts w:cs="David" w:hint="cs"/>
          <w:sz w:val="22"/>
          <w:szCs w:val="22"/>
          <w:rtl/>
        </w:rPr>
        <w:t>ון</w:t>
      </w:r>
      <w:proofErr w:type="spellEnd"/>
      <w:r w:rsidR="001D677A">
        <w:rPr>
          <w:rFonts w:cs="David" w:hint="cs"/>
          <w:sz w:val="22"/>
          <w:szCs w:val="22"/>
          <w:rtl/>
        </w:rPr>
        <w:t xml:space="preserve"> </w:t>
      </w:r>
      <w:proofErr w:type="spellStart"/>
      <w:r w:rsidR="001D677A">
        <w:rPr>
          <w:rFonts w:cs="David" w:hint="cs"/>
          <w:sz w:val="22"/>
          <w:szCs w:val="22"/>
          <w:rtl/>
        </w:rPr>
        <w:t>ליר</w:t>
      </w:r>
      <w:proofErr w:type="spellEnd"/>
      <w:r w:rsidRPr="001330E9">
        <w:rPr>
          <w:rFonts w:cs="David" w:hint="cs"/>
          <w:sz w:val="22"/>
          <w:szCs w:val="22"/>
          <w:rtl/>
        </w:rPr>
        <w:t xml:space="preserve"> </w:t>
      </w:r>
      <w:r w:rsidR="001D677A">
        <w:rPr>
          <w:rFonts w:cs="David" w:hint="cs"/>
          <w:sz w:val="22"/>
          <w:szCs w:val="22"/>
          <w:rtl/>
        </w:rPr>
        <w:t xml:space="preserve">2005, </w:t>
      </w:r>
      <w:proofErr w:type="spellStart"/>
      <w:r w:rsidRPr="001330E9">
        <w:rPr>
          <w:rFonts w:cs="David" w:hint="cs"/>
          <w:sz w:val="22"/>
          <w:szCs w:val="22"/>
          <w:rtl/>
        </w:rPr>
        <w:t>עמ</w:t>
      </w:r>
      <w:proofErr w:type="spellEnd"/>
      <w:r w:rsidRPr="001330E9">
        <w:rPr>
          <w:rFonts w:cs="David" w:hint="cs"/>
          <w:sz w:val="22"/>
          <w:szCs w:val="22"/>
          <w:rtl/>
        </w:rPr>
        <w:t>'</w:t>
      </w:r>
      <w:r w:rsidRPr="00655EFB">
        <w:rPr>
          <w:rFonts w:cs="David" w:hint="cs"/>
          <w:sz w:val="22"/>
          <w:szCs w:val="22"/>
          <w:rtl/>
        </w:rPr>
        <w:t xml:space="preserve"> </w:t>
      </w:r>
      <w:proofErr w:type="spellStart"/>
      <w:r w:rsidRPr="00655EFB">
        <w:rPr>
          <w:rFonts w:cs="David" w:hint="cs"/>
          <w:sz w:val="22"/>
          <w:szCs w:val="22"/>
          <w:rtl/>
        </w:rPr>
        <w:t>297</w:t>
      </w:r>
      <w:r w:rsidRPr="00655EFB">
        <w:rPr>
          <w:rFonts w:cs="David"/>
          <w:sz w:val="22"/>
          <w:szCs w:val="22"/>
          <w:rtl/>
        </w:rPr>
        <w:t>–</w:t>
      </w:r>
      <w:r w:rsidRPr="00655EFB">
        <w:rPr>
          <w:rFonts w:cs="David" w:hint="cs"/>
          <w:sz w:val="22"/>
          <w:szCs w:val="22"/>
          <w:rtl/>
        </w:rPr>
        <w:t>308</w:t>
      </w:r>
      <w:proofErr w:type="spellEnd"/>
      <w:r w:rsidR="001D677A">
        <w:rPr>
          <w:rFonts w:cs="David" w:hint="cs"/>
          <w:sz w:val="22"/>
          <w:szCs w:val="22"/>
          <w:rtl/>
        </w:rPr>
        <w:t>.</w:t>
      </w:r>
    </w:p>
    <w:p w:rsidR="004268D1" w:rsidRPr="00655EFB" w:rsidRDefault="004268D1" w:rsidP="004268D1">
      <w:pPr>
        <w:pStyle w:val="ab"/>
        <w:bidi w:val="0"/>
        <w:rPr>
          <w:rFonts w:cs="David"/>
          <w:sz w:val="22"/>
          <w:szCs w:val="22"/>
          <w:rtl/>
        </w:rPr>
      </w:pPr>
      <w:r w:rsidRPr="00655EFB">
        <w:rPr>
          <w:rFonts w:cs="David"/>
          <w:sz w:val="22"/>
          <w:szCs w:val="22"/>
          <w:lang w:eastAsia="en-US"/>
        </w:rPr>
        <w:t>John</w:t>
      </w:r>
      <w:r w:rsidRPr="00655EFB">
        <w:rPr>
          <w:rFonts w:cs="David" w:hint="cs"/>
          <w:sz w:val="22"/>
          <w:szCs w:val="22"/>
          <w:lang w:eastAsia="en-US"/>
        </w:rPr>
        <w:t xml:space="preserve"> </w:t>
      </w:r>
      <w:proofErr w:type="spellStart"/>
      <w:r w:rsidRPr="00655EFB">
        <w:rPr>
          <w:rFonts w:cs="David" w:hint="cs"/>
          <w:sz w:val="22"/>
          <w:szCs w:val="22"/>
          <w:lang w:eastAsia="en-US"/>
        </w:rPr>
        <w:t>C</w:t>
      </w:r>
      <w:r w:rsidRPr="00655EFB">
        <w:rPr>
          <w:rFonts w:cs="David"/>
          <w:sz w:val="22"/>
          <w:szCs w:val="22"/>
          <w:lang w:eastAsia="en-US"/>
        </w:rPr>
        <w:t>aruana</w:t>
      </w:r>
      <w:proofErr w:type="spellEnd"/>
      <w:r>
        <w:rPr>
          <w:rFonts w:cs="David"/>
          <w:sz w:val="22"/>
          <w:szCs w:val="22"/>
          <w:lang w:val="en-GB" w:eastAsia="en-US"/>
        </w:rPr>
        <w:t>,</w:t>
      </w:r>
      <w:r w:rsidRPr="00655EFB">
        <w:rPr>
          <w:rFonts w:cs="David"/>
          <w:sz w:val="22"/>
          <w:szCs w:val="22"/>
          <w:lang w:eastAsia="en-US"/>
        </w:rPr>
        <w:t xml:space="preserve"> </w:t>
      </w:r>
      <w:r w:rsidRPr="00655EFB">
        <w:rPr>
          <w:rFonts w:cs="David"/>
          <w:sz w:val="22"/>
          <w:szCs w:val="22"/>
          <w:rtl/>
          <w:lang w:eastAsia="en-US"/>
        </w:rPr>
        <w:t>“</w:t>
      </w:r>
      <w:proofErr w:type="spellStart"/>
      <w:r w:rsidRPr="00655EFB">
        <w:rPr>
          <w:rFonts w:cs="David"/>
          <w:sz w:val="22"/>
          <w:szCs w:val="22"/>
          <w:lang w:eastAsia="en-US"/>
        </w:rPr>
        <w:t>Levinas`s</w:t>
      </w:r>
      <w:proofErr w:type="spellEnd"/>
      <w:r w:rsidRPr="00655EFB">
        <w:rPr>
          <w:rFonts w:cs="David"/>
          <w:sz w:val="22"/>
          <w:szCs w:val="22"/>
          <w:lang w:eastAsia="en-US"/>
        </w:rPr>
        <w:t xml:space="preserve"> critique of the Sacred”, </w:t>
      </w:r>
      <w:r w:rsidRPr="00655EFB">
        <w:rPr>
          <w:rFonts w:cs="David"/>
          <w:i/>
          <w:iCs/>
          <w:sz w:val="22"/>
          <w:szCs w:val="22"/>
          <w:lang w:eastAsia="en-US"/>
        </w:rPr>
        <w:t xml:space="preserve">International Philosophical Quarterly, </w:t>
      </w:r>
      <w:r w:rsidRPr="00655EFB">
        <w:rPr>
          <w:rFonts w:cs="David"/>
          <w:sz w:val="22"/>
          <w:szCs w:val="22"/>
          <w:lang w:eastAsia="en-US"/>
        </w:rPr>
        <w:t>42, 4, (2002),</w:t>
      </w:r>
      <w:r>
        <w:rPr>
          <w:rFonts w:cs="David"/>
          <w:sz w:val="22"/>
          <w:szCs w:val="22"/>
          <w:lang w:eastAsia="en-US"/>
        </w:rPr>
        <w:t xml:space="preserve"> pp.</w:t>
      </w:r>
      <w:r w:rsidRPr="00655EFB">
        <w:rPr>
          <w:rFonts w:cs="David"/>
          <w:sz w:val="22"/>
          <w:szCs w:val="22"/>
          <w:lang w:eastAsia="en-US"/>
        </w:rPr>
        <w:t xml:space="preserve"> 519 – 534.</w:t>
      </w:r>
    </w:p>
  </w:footnote>
  <w:footnote w:id="2">
    <w:p w:rsidR="004268D1" w:rsidRPr="00655EFB" w:rsidRDefault="004268D1" w:rsidP="004268D1">
      <w:pPr>
        <w:pStyle w:val="ab"/>
        <w:rPr>
          <w:rFonts w:cs="David"/>
          <w:sz w:val="22"/>
          <w:szCs w:val="22"/>
        </w:rPr>
      </w:pPr>
      <w:r w:rsidRPr="00655EFB">
        <w:rPr>
          <w:rStyle w:val="ad"/>
          <w:rFonts w:cs="David"/>
        </w:rPr>
        <w:footnoteRef/>
      </w:r>
      <w:r w:rsidRPr="00655EFB">
        <w:rPr>
          <w:rFonts w:cs="David"/>
        </w:rPr>
        <w:t xml:space="preserve"> </w:t>
      </w:r>
      <w:r w:rsidRPr="00655EFB">
        <w:rPr>
          <w:rFonts w:cs="David" w:hint="cs"/>
          <w:rtl/>
        </w:rPr>
        <w:t xml:space="preserve"> </w:t>
      </w:r>
      <w:r w:rsidRPr="00655EFB">
        <w:rPr>
          <w:rFonts w:cs="David" w:hint="cs"/>
          <w:sz w:val="22"/>
          <w:szCs w:val="22"/>
          <w:rtl/>
        </w:rPr>
        <w:t xml:space="preserve">וכן הוא כותב: "כדי </w:t>
      </w:r>
      <w:proofErr w:type="spellStart"/>
      <w:r w:rsidRPr="00655EFB">
        <w:rPr>
          <w:rFonts w:cs="David" w:hint="cs"/>
          <w:sz w:val="22"/>
          <w:szCs w:val="22"/>
          <w:rtl/>
        </w:rPr>
        <w:t>שהטרנצנדנטיות</w:t>
      </w:r>
      <w:proofErr w:type="spellEnd"/>
      <w:r w:rsidRPr="00655EFB">
        <w:rPr>
          <w:rFonts w:cs="David" w:hint="cs"/>
          <w:sz w:val="22"/>
          <w:szCs w:val="22"/>
          <w:rtl/>
        </w:rPr>
        <w:t xml:space="preserve"> או התשוקה של מעבר להוויה לא תשקע בתוך האימננטיות ובכך נחזור לעצמנו, הכרחי להפריד את הרצוי או את האלוהים מן התשוקה. הוא רצוי, קרוב, אבל עדיין שונה, קדוש. זה אפשרי, רק אם הרצוי מטיל עליי את הלא רצוי, את הלא רצוי לחלוטין, את הזולת." (</w:t>
      </w:r>
      <w:r w:rsidRPr="00655EFB">
        <w:rPr>
          <w:rFonts w:cs="David" w:hint="cs"/>
          <w:i/>
          <w:iCs/>
          <w:sz w:val="22"/>
          <w:szCs w:val="22"/>
          <w:rtl/>
        </w:rPr>
        <w:t>אלוהים והפילוסופיה</w:t>
      </w:r>
      <w:r>
        <w:rPr>
          <w:rFonts w:cs="David" w:hint="cs"/>
          <w:i/>
          <w:iCs/>
          <w:sz w:val="22"/>
          <w:szCs w:val="22"/>
          <w:rtl/>
        </w:rPr>
        <w:t xml:space="preserve"> </w:t>
      </w:r>
      <w:proofErr w:type="spellStart"/>
      <w:r w:rsidRPr="001330E9">
        <w:rPr>
          <w:rFonts w:cs="David" w:hint="cs"/>
          <w:sz w:val="22"/>
          <w:szCs w:val="22"/>
          <w:rtl/>
        </w:rPr>
        <w:t>עמ</w:t>
      </w:r>
      <w:proofErr w:type="spellEnd"/>
      <w:r>
        <w:rPr>
          <w:rFonts w:cs="David" w:hint="cs"/>
          <w:i/>
          <w:iCs/>
          <w:sz w:val="22"/>
          <w:szCs w:val="22"/>
          <w:rtl/>
        </w:rPr>
        <w:t>'</w:t>
      </w:r>
      <w:r w:rsidRPr="00655EFB">
        <w:rPr>
          <w:rFonts w:cs="David" w:hint="cs"/>
          <w:i/>
          <w:iCs/>
          <w:sz w:val="22"/>
          <w:szCs w:val="22"/>
          <w:rtl/>
        </w:rPr>
        <w:t xml:space="preserve"> </w:t>
      </w:r>
      <w:r w:rsidRPr="00655EFB">
        <w:rPr>
          <w:rFonts w:cs="David" w:hint="cs"/>
          <w:sz w:val="22"/>
          <w:szCs w:val="22"/>
          <w:rtl/>
        </w:rPr>
        <w:t xml:space="preserve">62) וכן ב </w:t>
      </w:r>
      <w:proofErr w:type="spellStart"/>
      <w:r w:rsidRPr="00655EFB">
        <w:rPr>
          <w:rFonts w:cs="David"/>
          <w:i/>
          <w:iCs/>
          <w:sz w:val="22"/>
          <w:szCs w:val="22"/>
        </w:rPr>
        <w:t>Totalité</w:t>
      </w:r>
      <w:proofErr w:type="spellEnd"/>
      <w:r w:rsidRPr="00655EFB">
        <w:rPr>
          <w:rFonts w:cs="David"/>
          <w:i/>
          <w:iCs/>
          <w:sz w:val="22"/>
          <w:szCs w:val="22"/>
        </w:rPr>
        <w:t xml:space="preserve"> et </w:t>
      </w:r>
      <w:proofErr w:type="spellStart"/>
      <w:r w:rsidRPr="00655EFB">
        <w:rPr>
          <w:rFonts w:cs="David"/>
          <w:i/>
          <w:iCs/>
          <w:sz w:val="22"/>
          <w:szCs w:val="22"/>
        </w:rPr>
        <w:t>infini</w:t>
      </w:r>
      <w:proofErr w:type="spellEnd"/>
      <w:r>
        <w:rPr>
          <w:rFonts w:cs="David" w:hint="cs"/>
          <w:sz w:val="22"/>
          <w:szCs w:val="22"/>
          <w:rtl/>
        </w:rPr>
        <w:t xml:space="preserve"> </w:t>
      </w:r>
      <w:proofErr w:type="spellStart"/>
      <w:r>
        <w:rPr>
          <w:rFonts w:cs="David" w:hint="cs"/>
          <w:sz w:val="22"/>
          <w:szCs w:val="22"/>
          <w:rtl/>
        </w:rPr>
        <w:t>עמ</w:t>
      </w:r>
      <w:proofErr w:type="spellEnd"/>
      <w:r>
        <w:rPr>
          <w:rFonts w:cs="David" w:hint="cs"/>
          <w:sz w:val="22"/>
          <w:szCs w:val="22"/>
          <w:rtl/>
        </w:rPr>
        <w:t>'</w:t>
      </w:r>
      <w:r w:rsidRPr="00655EFB">
        <w:rPr>
          <w:rFonts w:cs="David" w:hint="cs"/>
          <w:sz w:val="22"/>
          <w:szCs w:val="22"/>
          <w:rtl/>
        </w:rPr>
        <w:t xml:space="preserve"> 75 : "בקדושתו, כלומר, בנבדלותו האינסוף אינו שורף את העיניים המופנות אליו".</w:t>
      </w:r>
    </w:p>
  </w:footnote>
  <w:footnote w:id="3">
    <w:p w:rsidR="004268D1" w:rsidRPr="00655EFB" w:rsidRDefault="004268D1" w:rsidP="004268D1">
      <w:pPr>
        <w:pStyle w:val="ab"/>
        <w:rPr>
          <w:rFonts w:cs="David"/>
          <w:sz w:val="22"/>
          <w:szCs w:val="22"/>
          <w:rtl/>
        </w:rPr>
      </w:pPr>
      <w:r w:rsidRPr="00655EFB">
        <w:rPr>
          <w:rStyle w:val="ad"/>
          <w:rFonts w:cs="David"/>
          <w:sz w:val="22"/>
          <w:szCs w:val="22"/>
        </w:rPr>
        <w:footnoteRef/>
      </w:r>
      <w:r w:rsidRPr="00655EFB">
        <w:rPr>
          <w:rFonts w:cs="David"/>
          <w:sz w:val="22"/>
          <w:szCs w:val="22"/>
        </w:rPr>
        <w:t xml:space="preserve"> </w:t>
      </w:r>
      <w:r w:rsidRPr="00655EFB">
        <w:rPr>
          <w:rFonts w:cs="David" w:hint="cs"/>
          <w:sz w:val="22"/>
          <w:szCs w:val="22"/>
          <w:rtl/>
        </w:rPr>
        <w:t xml:space="preserve"> </w:t>
      </w:r>
      <w:r w:rsidRPr="00655EFB">
        <w:rPr>
          <w:rFonts w:cs="David" w:hint="cs"/>
          <w:i/>
          <w:iCs/>
          <w:sz w:val="22"/>
          <w:szCs w:val="22"/>
          <w:rtl/>
        </w:rPr>
        <w:t>מעבר לפסוק</w:t>
      </w:r>
      <w:r>
        <w:rPr>
          <w:rFonts w:cs="David" w:hint="cs"/>
          <w:i/>
          <w:iCs/>
          <w:sz w:val="22"/>
          <w:szCs w:val="22"/>
          <w:rtl/>
        </w:rPr>
        <w:t xml:space="preserve"> </w:t>
      </w:r>
      <w:proofErr w:type="spellStart"/>
      <w:r w:rsidRPr="001330E9">
        <w:rPr>
          <w:rFonts w:cs="David" w:hint="cs"/>
          <w:sz w:val="22"/>
          <w:szCs w:val="22"/>
          <w:rtl/>
        </w:rPr>
        <w:t>עמ</w:t>
      </w:r>
      <w:proofErr w:type="spellEnd"/>
      <w:r>
        <w:rPr>
          <w:rFonts w:cs="David" w:hint="cs"/>
          <w:i/>
          <w:iCs/>
          <w:sz w:val="22"/>
          <w:szCs w:val="22"/>
          <w:rtl/>
        </w:rPr>
        <w:t>'</w:t>
      </w:r>
      <w:r w:rsidRPr="00655EFB">
        <w:rPr>
          <w:rFonts w:cs="David" w:hint="cs"/>
          <w:i/>
          <w:iCs/>
          <w:sz w:val="22"/>
          <w:szCs w:val="22"/>
          <w:rtl/>
        </w:rPr>
        <w:t xml:space="preserve"> </w:t>
      </w:r>
      <w:r w:rsidRPr="00655EFB">
        <w:rPr>
          <w:rFonts w:cs="David" w:hint="cs"/>
          <w:sz w:val="22"/>
          <w:szCs w:val="22"/>
          <w:rtl/>
        </w:rPr>
        <w:t xml:space="preserve">33 </w:t>
      </w:r>
      <w:r w:rsidRPr="00655EFB">
        <w:rPr>
          <w:rFonts w:cs="David"/>
          <w:sz w:val="22"/>
          <w:szCs w:val="22"/>
          <w:rtl/>
        </w:rPr>
        <w:t>–</w:t>
      </w:r>
      <w:r w:rsidRPr="00655EFB">
        <w:rPr>
          <w:rFonts w:cs="David" w:hint="cs"/>
          <w:sz w:val="22"/>
          <w:szCs w:val="22"/>
          <w:rtl/>
        </w:rPr>
        <w:t xml:space="preserve"> 55. </w:t>
      </w:r>
    </w:p>
  </w:footnote>
  <w:footnote w:id="4">
    <w:p w:rsidR="004268D1" w:rsidRPr="00655EFB" w:rsidRDefault="004268D1" w:rsidP="004268D1">
      <w:pPr>
        <w:pStyle w:val="ab"/>
        <w:rPr>
          <w:rFonts w:cs="David"/>
          <w:sz w:val="22"/>
          <w:szCs w:val="22"/>
          <w:rtl/>
        </w:rPr>
      </w:pPr>
      <w:r w:rsidRPr="00655EFB">
        <w:rPr>
          <w:rStyle w:val="ad"/>
          <w:rFonts w:ascii="Arial" w:hAnsi="Arial" w:cs="David"/>
          <w:sz w:val="22"/>
          <w:szCs w:val="22"/>
          <w:rtl/>
        </w:rPr>
        <w:footnoteRef/>
      </w:r>
      <w:r w:rsidRPr="00655EFB">
        <w:rPr>
          <w:rFonts w:ascii="Arial" w:hAnsi="Arial" w:cs="David"/>
          <w:sz w:val="22"/>
          <w:szCs w:val="22"/>
          <w:rtl/>
        </w:rPr>
        <w:t xml:space="preserve"> </w:t>
      </w:r>
      <w:r w:rsidRPr="00655EFB">
        <w:rPr>
          <w:rFonts w:ascii="Arial" w:hAnsi="Arial" w:cs="David" w:hint="cs"/>
          <w:sz w:val="22"/>
          <w:szCs w:val="22"/>
          <w:rtl/>
        </w:rPr>
        <w:t>רש"י לשמות כה 2</w:t>
      </w:r>
      <w:r w:rsidRPr="00655EFB">
        <w:rPr>
          <w:rFonts w:ascii="Arial" w:hAnsi="Arial" w:cs="David"/>
          <w:sz w:val="22"/>
          <w:szCs w:val="22"/>
          <w:rtl/>
        </w:rPr>
        <w:t>9: "...</w:t>
      </w:r>
      <w:r w:rsidRPr="00655EFB">
        <w:rPr>
          <w:rFonts w:ascii="Arial" w:hAnsi="Arial" w:cs="David" w:hint="cs"/>
          <w:sz w:val="22"/>
          <w:szCs w:val="22"/>
          <w:rtl/>
        </w:rPr>
        <w:t xml:space="preserve">ולכן קרוי לחם הפנים שיש לו פנים </w:t>
      </w:r>
      <w:proofErr w:type="spellStart"/>
      <w:r w:rsidRPr="00655EFB">
        <w:rPr>
          <w:rFonts w:ascii="Arial" w:hAnsi="Arial" w:cs="David" w:hint="cs"/>
          <w:sz w:val="22"/>
          <w:szCs w:val="22"/>
          <w:rtl/>
        </w:rPr>
        <w:t>רואין</w:t>
      </w:r>
      <w:proofErr w:type="spellEnd"/>
      <w:r w:rsidRPr="00655EFB">
        <w:rPr>
          <w:rFonts w:ascii="Arial" w:hAnsi="Arial" w:cs="David" w:hint="cs"/>
          <w:sz w:val="22"/>
          <w:szCs w:val="22"/>
          <w:rtl/>
        </w:rPr>
        <w:t xml:space="preserve"> לכאן ולכאן לצידי הבית מזה ומזה".</w:t>
      </w:r>
    </w:p>
  </w:footnote>
  <w:footnote w:id="5">
    <w:p w:rsidR="004268D1" w:rsidRPr="00655EFB" w:rsidRDefault="004268D1" w:rsidP="004268D1">
      <w:pPr>
        <w:pStyle w:val="ab"/>
        <w:rPr>
          <w:rFonts w:cs="David"/>
          <w:sz w:val="22"/>
          <w:szCs w:val="22"/>
          <w:rtl/>
        </w:rPr>
      </w:pPr>
      <w:r w:rsidRPr="00655EFB">
        <w:rPr>
          <w:rStyle w:val="ad"/>
          <w:rFonts w:ascii="Arial" w:hAnsi="Arial" w:cs="David"/>
          <w:sz w:val="22"/>
          <w:szCs w:val="22"/>
          <w:rtl/>
        </w:rPr>
        <w:footnoteRef/>
      </w:r>
      <w:r w:rsidRPr="00655EFB">
        <w:rPr>
          <w:rFonts w:ascii="Arial" w:hAnsi="Arial" w:cs="David"/>
          <w:sz w:val="22"/>
          <w:szCs w:val="22"/>
          <w:rtl/>
        </w:rPr>
        <w:t xml:space="preserve"> </w:t>
      </w:r>
      <w:r w:rsidRPr="00655EFB">
        <w:rPr>
          <w:rFonts w:ascii="Arial" w:hAnsi="Arial" w:cs="David" w:hint="cs"/>
          <w:sz w:val="22"/>
          <w:szCs w:val="22"/>
          <w:rtl/>
        </w:rPr>
        <w:t>אבן עזרא לשמות כה 30: "על דרך הפשט נקרא לחם הפנים. ב</w:t>
      </w:r>
      <w:r w:rsidRPr="00655EFB">
        <w:rPr>
          <w:rFonts w:ascii="Arial" w:hAnsi="Arial" w:cs="David"/>
          <w:sz w:val="22"/>
          <w:szCs w:val="22"/>
          <w:rtl/>
        </w:rPr>
        <w:t>ע</w:t>
      </w:r>
      <w:r w:rsidRPr="00655EFB">
        <w:rPr>
          <w:rFonts w:ascii="Arial" w:hAnsi="Arial" w:cs="David" w:hint="cs"/>
          <w:sz w:val="22"/>
          <w:szCs w:val="22"/>
          <w:rtl/>
        </w:rPr>
        <w:t>בור הפי' שהוא אחריו".</w:t>
      </w:r>
    </w:p>
  </w:footnote>
  <w:footnote w:id="6">
    <w:p w:rsidR="004268D1" w:rsidRPr="00655EFB" w:rsidRDefault="004268D1" w:rsidP="004268D1">
      <w:pPr>
        <w:pStyle w:val="ab"/>
        <w:rPr>
          <w:rFonts w:cs="David"/>
          <w:sz w:val="22"/>
          <w:szCs w:val="22"/>
          <w:rtl/>
        </w:rPr>
      </w:pPr>
      <w:r w:rsidRPr="00655EFB">
        <w:rPr>
          <w:rStyle w:val="ad"/>
          <w:rFonts w:cs="David"/>
          <w:sz w:val="22"/>
          <w:szCs w:val="22"/>
        </w:rPr>
        <w:footnoteRef/>
      </w:r>
      <w:r w:rsidRPr="00655EFB">
        <w:rPr>
          <w:rFonts w:cs="David"/>
          <w:sz w:val="22"/>
          <w:szCs w:val="22"/>
        </w:rPr>
        <w:t xml:space="preserve"> </w:t>
      </w:r>
      <w:r w:rsidRPr="00655EFB">
        <w:rPr>
          <w:rFonts w:cs="David" w:hint="cs"/>
          <w:sz w:val="22"/>
          <w:szCs w:val="22"/>
          <w:rtl/>
        </w:rPr>
        <w:t xml:space="preserve"> </w:t>
      </w:r>
      <w:r w:rsidRPr="00655EFB">
        <w:rPr>
          <w:rFonts w:cs="David" w:hint="cs"/>
          <w:i/>
          <w:iCs/>
          <w:sz w:val="22"/>
          <w:szCs w:val="22"/>
          <w:rtl/>
        </w:rPr>
        <w:t>תשע קריאות</w:t>
      </w:r>
      <w:r>
        <w:rPr>
          <w:rFonts w:cs="David" w:hint="cs"/>
          <w:i/>
          <w:iCs/>
          <w:sz w:val="22"/>
          <w:szCs w:val="22"/>
          <w:rtl/>
        </w:rPr>
        <w:t xml:space="preserve"> </w:t>
      </w:r>
      <w:proofErr w:type="spellStart"/>
      <w:r>
        <w:rPr>
          <w:rFonts w:cs="David" w:hint="cs"/>
          <w:sz w:val="22"/>
          <w:szCs w:val="22"/>
          <w:rtl/>
        </w:rPr>
        <w:t>עמ</w:t>
      </w:r>
      <w:proofErr w:type="spellEnd"/>
      <w:r>
        <w:rPr>
          <w:rFonts w:cs="David" w:hint="cs"/>
          <w:sz w:val="22"/>
          <w:szCs w:val="22"/>
          <w:rtl/>
        </w:rPr>
        <w:t>'</w:t>
      </w:r>
      <w:r w:rsidRPr="00655EFB">
        <w:rPr>
          <w:rFonts w:cs="David" w:hint="cs"/>
          <w:i/>
          <w:iCs/>
          <w:sz w:val="22"/>
          <w:szCs w:val="22"/>
          <w:rtl/>
        </w:rPr>
        <w:t xml:space="preserve"> </w:t>
      </w:r>
      <w:r w:rsidRPr="00655EFB">
        <w:rPr>
          <w:rFonts w:cs="David" w:hint="cs"/>
          <w:sz w:val="22"/>
          <w:szCs w:val="22"/>
          <w:rtl/>
        </w:rPr>
        <w:t xml:space="preserve">229 </w:t>
      </w:r>
      <w:r w:rsidRPr="00655EFB">
        <w:rPr>
          <w:rFonts w:cs="David"/>
          <w:sz w:val="22"/>
          <w:szCs w:val="22"/>
          <w:rtl/>
        </w:rPr>
        <w:t>–</w:t>
      </w:r>
      <w:r w:rsidRPr="00655EFB">
        <w:rPr>
          <w:rFonts w:cs="David" w:hint="cs"/>
          <w:sz w:val="22"/>
          <w:szCs w:val="22"/>
          <w:rtl/>
        </w:rPr>
        <w:t xml:space="preserve"> 248.</w:t>
      </w:r>
    </w:p>
  </w:footnote>
  <w:footnote w:id="7">
    <w:p w:rsidR="004268D1" w:rsidRPr="00655EFB" w:rsidRDefault="004268D1" w:rsidP="004268D1">
      <w:pPr>
        <w:pStyle w:val="ab"/>
        <w:rPr>
          <w:rFonts w:cs="David"/>
          <w:sz w:val="22"/>
          <w:szCs w:val="22"/>
          <w:rtl/>
        </w:rPr>
      </w:pPr>
      <w:r w:rsidRPr="00655EFB">
        <w:rPr>
          <w:rStyle w:val="ad"/>
          <w:rFonts w:ascii="Arial" w:hAnsi="Arial" w:cs="David"/>
          <w:sz w:val="22"/>
          <w:szCs w:val="22"/>
          <w:rtl/>
        </w:rPr>
        <w:footnoteRef/>
      </w:r>
      <w:r w:rsidRPr="00655EFB">
        <w:rPr>
          <w:rFonts w:ascii="Arial" w:hAnsi="Arial" w:cs="David"/>
          <w:sz w:val="22"/>
          <w:szCs w:val="22"/>
          <w:rtl/>
        </w:rPr>
        <w:t xml:space="preserve"> </w:t>
      </w:r>
      <w:proofErr w:type="spellStart"/>
      <w:r w:rsidRPr="00655EFB">
        <w:rPr>
          <w:rFonts w:ascii="Arial" w:hAnsi="Arial" w:cs="David" w:hint="cs"/>
          <w:sz w:val="22"/>
          <w:szCs w:val="22"/>
          <w:rtl/>
        </w:rPr>
        <w:t>קלאוזביץ</w:t>
      </w:r>
      <w:proofErr w:type="spellEnd"/>
      <w:r w:rsidRPr="00655EFB">
        <w:rPr>
          <w:rFonts w:ascii="Arial" w:hAnsi="Arial" w:cs="David" w:hint="cs"/>
          <w:sz w:val="22"/>
          <w:szCs w:val="22"/>
          <w:rtl/>
        </w:rPr>
        <w:t xml:space="preserve"> (1780 </w:t>
      </w:r>
      <w:r w:rsidRPr="00655EFB">
        <w:rPr>
          <w:rFonts w:ascii="Arial" w:hAnsi="Arial" w:cs="David"/>
          <w:sz w:val="22"/>
          <w:szCs w:val="22"/>
          <w:rtl/>
        </w:rPr>
        <w:t>–</w:t>
      </w:r>
      <w:r w:rsidRPr="00655EFB">
        <w:rPr>
          <w:rFonts w:ascii="Arial" w:hAnsi="Arial" w:cs="David" w:hint="cs"/>
          <w:sz w:val="22"/>
          <w:szCs w:val="22"/>
          <w:rtl/>
        </w:rPr>
        <w:t xml:space="preserve"> 1831) נחשב לאחד מגדולי ההוגים בנושא מלחמה. ספרו "על המלחמה" השפיע על תורת הלחימה הגרמנית והסובייטית </w:t>
      </w:r>
      <w:r w:rsidRPr="00655EFB">
        <w:rPr>
          <w:rFonts w:ascii="Arial" w:hAnsi="Arial" w:cs="David"/>
          <w:sz w:val="22"/>
          <w:szCs w:val="22"/>
          <w:rtl/>
        </w:rPr>
        <w:t>–</w:t>
      </w:r>
      <w:r w:rsidRPr="00655EFB">
        <w:rPr>
          <w:rFonts w:ascii="Arial" w:hAnsi="Arial" w:cs="David" w:hint="cs"/>
          <w:sz w:val="22"/>
          <w:szCs w:val="22"/>
          <w:rtl/>
        </w:rPr>
        <w:t xml:space="preserve"> ה</w:t>
      </w:r>
      <w:r w:rsidRPr="00655EFB">
        <w:rPr>
          <w:rFonts w:ascii="Arial" w:hAnsi="Arial" w:cs="David"/>
          <w:sz w:val="22"/>
          <w:szCs w:val="22"/>
          <w:rtl/>
        </w:rPr>
        <w:t>ע</w:t>
      </w:r>
      <w:r w:rsidRPr="00655EFB">
        <w:rPr>
          <w:rFonts w:ascii="Arial" w:hAnsi="Arial" w:cs="David" w:hint="cs"/>
          <w:sz w:val="22"/>
          <w:szCs w:val="22"/>
          <w:rtl/>
        </w:rPr>
        <w:t>רה של דניאל אפשטיין (</w:t>
      </w:r>
      <w:r w:rsidRPr="00655EFB">
        <w:rPr>
          <w:rFonts w:ascii="Arial" w:hAnsi="Arial" w:cs="David" w:hint="cs"/>
          <w:i/>
          <w:iCs/>
          <w:sz w:val="22"/>
          <w:szCs w:val="22"/>
          <w:rtl/>
        </w:rPr>
        <w:t>תשע קריאות</w:t>
      </w:r>
      <w:r>
        <w:rPr>
          <w:rFonts w:ascii="Arial" w:hAnsi="Arial" w:cs="David" w:hint="cs"/>
          <w:sz w:val="22"/>
          <w:szCs w:val="22"/>
          <w:rtl/>
        </w:rPr>
        <w:t xml:space="preserve"> </w:t>
      </w:r>
      <w:proofErr w:type="spellStart"/>
      <w:r>
        <w:rPr>
          <w:rFonts w:ascii="Arial" w:hAnsi="Arial" w:cs="David" w:hint="cs"/>
          <w:sz w:val="22"/>
          <w:szCs w:val="22"/>
          <w:rtl/>
        </w:rPr>
        <w:t>עמ</w:t>
      </w:r>
      <w:proofErr w:type="spellEnd"/>
      <w:r>
        <w:rPr>
          <w:rFonts w:ascii="Arial" w:hAnsi="Arial" w:cs="David" w:hint="cs"/>
          <w:sz w:val="22"/>
          <w:szCs w:val="22"/>
          <w:rtl/>
        </w:rPr>
        <w:t>'</w:t>
      </w:r>
      <w:r w:rsidRPr="00655EFB">
        <w:rPr>
          <w:rFonts w:ascii="Arial" w:hAnsi="Arial" w:cs="David" w:hint="cs"/>
          <w:sz w:val="22"/>
          <w:szCs w:val="22"/>
          <w:rtl/>
        </w:rPr>
        <w:t xml:space="preserve"> 244)</w:t>
      </w:r>
    </w:p>
  </w:footnote>
  <w:footnote w:id="8">
    <w:p w:rsidR="004268D1" w:rsidRPr="00655EFB" w:rsidRDefault="004268D1" w:rsidP="004268D1">
      <w:pPr>
        <w:pStyle w:val="ab"/>
        <w:rPr>
          <w:rFonts w:cs="David"/>
          <w:sz w:val="22"/>
          <w:szCs w:val="22"/>
          <w:rtl/>
        </w:rPr>
      </w:pPr>
      <w:r w:rsidRPr="00655EFB">
        <w:rPr>
          <w:rStyle w:val="ad"/>
          <w:rFonts w:cs="David"/>
          <w:sz w:val="22"/>
          <w:szCs w:val="22"/>
        </w:rPr>
        <w:footnoteRef/>
      </w:r>
      <w:r w:rsidRPr="00655EFB">
        <w:rPr>
          <w:rFonts w:cs="David"/>
          <w:sz w:val="22"/>
          <w:szCs w:val="22"/>
        </w:rPr>
        <w:t xml:space="preserve"> </w:t>
      </w:r>
      <w:r w:rsidRPr="00655EFB">
        <w:rPr>
          <w:rFonts w:cs="David" w:hint="cs"/>
          <w:sz w:val="22"/>
          <w:szCs w:val="22"/>
          <w:rtl/>
        </w:rPr>
        <w:t xml:space="preserve"> </w:t>
      </w:r>
      <w:r w:rsidRPr="00655EFB">
        <w:rPr>
          <w:rFonts w:cs="David" w:hint="cs"/>
          <w:i/>
          <w:iCs/>
          <w:sz w:val="22"/>
          <w:szCs w:val="22"/>
          <w:rtl/>
        </w:rPr>
        <w:t>מעבר לפסוק</w:t>
      </w:r>
      <w:r w:rsidRPr="001330E9">
        <w:rPr>
          <w:rFonts w:cs="David" w:hint="cs"/>
          <w:sz w:val="22"/>
          <w:szCs w:val="22"/>
          <w:rtl/>
        </w:rPr>
        <w:t xml:space="preserve"> </w:t>
      </w:r>
      <w:proofErr w:type="spellStart"/>
      <w:r w:rsidRPr="001330E9">
        <w:rPr>
          <w:rFonts w:cs="David" w:hint="cs"/>
          <w:sz w:val="22"/>
          <w:szCs w:val="22"/>
          <w:rtl/>
        </w:rPr>
        <w:t>עמ</w:t>
      </w:r>
      <w:proofErr w:type="spellEnd"/>
      <w:r w:rsidRPr="001330E9">
        <w:rPr>
          <w:rFonts w:cs="David" w:hint="cs"/>
          <w:sz w:val="22"/>
          <w:szCs w:val="22"/>
          <w:rtl/>
        </w:rPr>
        <w:t>'</w:t>
      </w:r>
      <w:r w:rsidRPr="00655EFB">
        <w:rPr>
          <w:rFonts w:cs="David" w:hint="cs"/>
          <w:sz w:val="22"/>
          <w:szCs w:val="22"/>
          <w:rtl/>
        </w:rPr>
        <w:t xml:space="preserve"> 56 </w:t>
      </w:r>
      <w:r w:rsidRPr="00655EFB">
        <w:rPr>
          <w:rFonts w:cs="David"/>
          <w:sz w:val="22"/>
          <w:szCs w:val="22"/>
          <w:rtl/>
        </w:rPr>
        <w:t>–</w:t>
      </w:r>
      <w:r w:rsidRPr="00655EFB">
        <w:rPr>
          <w:rFonts w:cs="David" w:hint="cs"/>
          <w:sz w:val="22"/>
          <w:szCs w:val="22"/>
          <w:rtl/>
        </w:rPr>
        <w:t xml:space="preserve"> 78.</w:t>
      </w:r>
    </w:p>
  </w:footnote>
  <w:footnote w:id="9">
    <w:p w:rsidR="004268D1" w:rsidRPr="00655EFB" w:rsidRDefault="004268D1" w:rsidP="004268D1">
      <w:pPr>
        <w:pStyle w:val="ab"/>
        <w:rPr>
          <w:rFonts w:cs="David"/>
          <w:sz w:val="22"/>
          <w:szCs w:val="22"/>
          <w:rtl/>
        </w:rPr>
      </w:pPr>
      <w:r w:rsidRPr="00655EFB">
        <w:rPr>
          <w:rStyle w:val="ad"/>
          <w:rFonts w:cs="David"/>
          <w:sz w:val="22"/>
          <w:szCs w:val="22"/>
        </w:rPr>
        <w:footnoteRef/>
      </w:r>
      <w:r w:rsidRPr="00655EFB">
        <w:rPr>
          <w:rFonts w:cs="David"/>
          <w:sz w:val="22"/>
          <w:szCs w:val="22"/>
        </w:rPr>
        <w:t xml:space="preserve"> </w:t>
      </w:r>
      <w:r w:rsidRPr="00655EFB">
        <w:rPr>
          <w:rFonts w:cs="David" w:hint="cs"/>
          <w:sz w:val="22"/>
          <w:szCs w:val="22"/>
          <w:rtl/>
        </w:rPr>
        <w:t xml:space="preserve"> </w:t>
      </w:r>
      <w:r w:rsidRPr="00655EFB">
        <w:rPr>
          <w:rFonts w:cs="David" w:hint="cs"/>
          <w:sz w:val="22"/>
          <w:szCs w:val="22"/>
          <w:rtl/>
        </w:rPr>
        <w:t xml:space="preserve">בנקודה זו מעניין לראות את הדמיון והשוני בין גישתם של ישעיה ליבוביץ' </w:t>
      </w:r>
      <w:proofErr w:type="spellStart"/>
      <w:r w:rsidRPr="00655EFB">
        <w:rPr>
          <w:rFonts w:cs="David" w:hint="cs"/>
          <w:sz w:val="22"/>
          <w:szCs w:val="22"/>
          <w:rtl/>
        </w:rPr>
        <w:t>ולוינס</w:t>
      </w:r>
      <w:proofErr w:type="spellEnd"/>
      <w:r w:rsidRPr="00655EFB">
        <w:rPr>
          <w:rFonts w:cs="David" w:hint="cs"/>
          <w:sz w:val="22"/>
          <w:szCs w:val="22"/>
          <w:rtl/>
        </w:rPr>
        <w:t xml:space="preserve">. שניהם סבורים שהקדושה אינה תכונה נתונה, שיש לפעול ולקדש את הקדוש. "אנחנו </w:t>
      </w:r>
      <w:proofErr w:type="spellStart"/>
      <w:r w:rsidRPr="00655EFB">
        <w:rPr>
          <w:rFonts w:cs="David" w:hint="cs"/>
          <w:sz w:val="22"/>
          <w:szCs w:val="22"/>
          <w:rtl/>
        </w:rPr>
        <w:t>נצטוינו</w:t>
      </w:r>
      <w:proofErr w:type="spellEnd"/>
      <w:r w:rsidRPr="00655EFB">
        <w:rPr>
          <w:rFonts w:cs="David" w:hint="cs"/>
          <w:sz w:val="22"/>
          <w:szCs w:val="22"/>
          <w:rtl/>
        </w:rPr>
        <w:t xml:space="preserve"> להיות עם קדוש ולא היינו עם קדוש" (</w:t>
      </w:r>
      <w:r>
        <w:rPr>
          <w:rFonts w:cs="David" w:hint="cs"/>
          <w:sz w:val="22"/>
          <w:szCs w:val="22"/>
          <w:rtl/>
        </w:rPr>
        <w:t xml:space="preserve">ישעיה </w:t>
      </w:r>
      <w:r w:rsidRPr="00655EFB">
        <w:rPr>
          <w:rFonts w:cs="David" w:hint="cs"/>
          <w:sz w:val="22"/>
          <w:szCs w:val="22"/>
          <w:rtl/>
        </w:rPr>
        <w:t>ליבוביץ'</w:t>
      </w:r>
      <w:r>
        <w:rPr>
          <w:rFonts w:cs="David" w:hint="cs"/>
          <w:sz w:val="22"/>
          <w:szCs w:val="22"/>
          <w:rtl/>
        </w:rPr>
        <w:t>,</w:t>
      </w:r>
      <w:r w:rsidRPr="00655EFB">
        <w:rPr>
          <w:rFonts w:cs="David" w:hint="cs"/>
          <w:sz w:val="22"/>
          <w:szCs w:val="22"/>
          <w:rtl/>
        </w:rPr>
        <w:t xml:space="preserve"> </w:t>
      </w:r>
      <w:r w:rsidRPr="00655EFB">
        <w:rPr>
          <w:rFonts w:cs="David" w:hint="cs"/>
          <w:i/>
          <w:iCs/>
          <w:sz w:val="22"/>
          <w:szCs w:val="22"/>
          <w:rtl/>
        </w:rPr>
        <w:t>הערות לפרשיות השבוע</w:t>
      </w:r>
      <w:r w:rsidRPr="001330E9">
        <w:rPr>
          <w:rFonts w:cs="David" w:hint="cs"/>
          <w:sz w:val="22"/>
          <w:szCs w:val="22"/>
          <w:rtl/>
        </w:rPr>
        <w:t xml:space="preserve">, </w:t>
      </w:r>
      <w:proofErr w:type="spellStart"/>
      <w:r>
        <w:rPr>
          <w:rFonts w:cs="David" w:hint="cs"/>
          <w:sz w:val="22"/>
          <w:szCs w:val="22"/>
          <w:rtl/>
        </w:rPr>
        <w:t>אקדמון</w:t>
      </w:r>
      <w:proofErr w:type="spellEnd"/>
      <w:r>
        <w:rPr>
          <w:rFonts w:cs="David" w:hint="cs"/>
          <w:sz w:val="22"/>
          <w:szCs w:val="22"/>
          <w:rtl/>
        </w:rPr>
        <w:t xml:space="preserve">, ירושלים תשמ"ח, </w:t>
      </w:r>
      <w:proofErr w:type="spellStart"/>
      <w:r w:rsidRPr="001330E9">
        <w:rPr>
          <w:rFonts w:cs="David" w:hint="cs"/>
          <w:sz w:val="22"/>
          <w:szCs w:val="22"/>
          <w:rtl/>
        </w:rPr>
        <w:t>עמ</w:t>
      </w:r>
      <w:proofErr w:type="spellEnd"/>
      <w:r>
        <w:rPr>
          <w:rFonts w:cs="David" w:hint="cs"/>
          <w:i/>
          <w:iCs/>
          <w:sz w:val="22"/>
          <w:szCs w:val="22"/>
          <w:rtl/>
        </w:rPr>
        <w:t xml:space="preserve">' </w:t>
      </w:r>
      <w:r w:rsidRPr="00655EFB">
        <w:rPr>
          <w:rFonts w:cs="David" w:hint="cs"/>
          <w:sz w:val="22"/>
          <w:szCs w:val="22"/>
          <w:rtl/>
        </w:rPr>
        <w:t>79). אולם ההבדל ביניהם נותר מכריע ונוקב בנקודת התלות או אי-התלות של האנכי באופקי. עוד על נושא זה ראו</w:t>
      </w:r>
    </w:p>
    <w:p w:rsidR="004268D1" w:rsidRDefault="004268D1" w:rsidP="004268D1">
      <w:pPr>
        <w:pStyle w:val="ab"/>
        <w:rPr>
          <w:rFonts w:cs="David"/>
          <w:sz w:val="22"/>
          <w:szCs w:val="22"/>
          <w:rtl/>
        </w:rPr>
      </w:pPr>
      <w:r>
        <w:rPr>
          <w:rFonts w:cs="David" w:hint="cs"/>
          <w:sz w:val="22"/>
          <w:szCs w:val="22"/>
          <w:rtl/>
        </w:rPr>
        <w:t xml:space="preserve">טל </w:t>
      </w:r>
      <w:proofErr w:type="spellStart"/>
      <w:r w:rsidRPr="00655EFB">
        <w:rPr>
          <w:rFonts w:cs="David" w:hint="cs"/>
          <w:sz w:val="22"/>
          <w:szCs w:val="22"/>
          <w:rtl/>
        </w:rPr>
        <w:t>זסלר</w:t>
      </w:r>
      <w:proofErr w:type="spellEnd"/>
      <w:r w:rsidRPr="00655EFB">
        <w:rPr>
          <w:rFonts w:cs="David" w:hint="cs"/>
          <w:sz w:val="22"/>
          <w:szCs w:val="22"/>
          <w:rtl/>
        </w:rPr>
        <w:t xml:space="preserve">, </w:t>
      </w:r>
      <w:r w:rsidRPr="00655EFB">
        <w:rPr>
          <w:rFonts w:cs="David" w:hint="cs"/>
          <w:i/>
          <w:iCs/>
          <w:sz w:val="22"/>
          <w:szCs w:val="22"/>
          <w:rtl/>
        </w:rPr>
        <w:t xml:space="preserve">ליבוביץ' </w:t>
      </w:r>
      <w:proofErr w:type="spellStart"/>
      <w:r w:rsidRPr="00655EFB">
        <w:rPr>
          <w:rFonts w:cs="David" w:hint="cs"/>
          <w:i/>
          <w:iCs/>
          <w:sz w:val="22"/>
          <w:szCs w:val="22"/>
          <w:rtl/>
        </w:rPr>
        <w:t>ולוינס</w:t>
      </w:r>
      <w:proofErr w:type="spellEnd"/>
      <w:r w:rsidRPr="00655EFB">
        <w:rPr>
          <w:rFonts w:cs="David" w:hint="cs"/>
          <w:i/>
          <w:iCs/>
          <w:sz w:val="22"/>
          <w:szCs w:val="22"/>
          <w:rtl/>
        </w:rPr>
        <w:t xml:space="preserve">: בין יהדות </w:t>
      </w:r>
      <w:proofErr w:type="spellStart"/>
      <w:r w:rsidRPr="00655EFB">
        <w:rPr>
          <w:rFonts w:cs="David" w:hint="cs"/>
          <w:i/>
          <w:iCs/>
          <w:sz w:val="22"/>
          <w:szCs w:val="22"/>
          <w:rtl/>
        </w:rPr>
        <w:t>לאוניברסליזם</w:t>
      </w:r>
      <w:proofErr w:type="spellEnd"/>
      <w:r w:rsidRPr="00655EFB">
        <w:rPr>
          <w:rFonts w:cs="David" w:hint="cs"/>
          <w:i/>
          <w:iCs/>
          <w:sz w:val="22"/>
          <w:szCs w:val="22"/>
          <w:rtl/>
        </w:rPr>
        <w:t xml:space="preserve">, </w:t>
      </w:r>
      <w:proofErr w:type="spellStart"/>
      <w:r w:rsidRPr="00655EFB">
        <w:rPr>
          <w:rFonts w:cs="David" w:hint="cs"/>
          <w:sz w:val="22"/>
          <w:szCs w:val="22"/>
          <w:rtl/>
        </w:rPr>
        <w:t>רסלינג</w:t>
      </w:r>
      <w:proofErr w:type="spellEnd"/>
      <w:r w:rsidRPr="00655EFB">
        <w:rPr>
          <w:rFonts w:cs="David" w:hint="cs"/>
          <w:sz w:val="22"/>
          <w:szCs w:val="22"/>
          <w:rtl/>
        </w:rPr>
        <w:t>, תל-אביב 2008 ,</w:t>
      </w:r>
      <w:r>
        <w:rPr>
          <w:rFonts w:cs="David" w:hint="cs"/>
          <w:sz w:val="22"/>
          <w:szCs w:val="22"/>
          <w:rtl/>
        </w:rPr>
        <w:t xml:space="preserve"> </w:t>
      </w:r>
      <w:proofErr w:type="spellStart"/>
      <w:r>
        <w:rPr>
          <w:rFonts w:cs="David" w:hint="cs"/>
          <w:sz w:val="22"/>
          <w:szCs w:val="22"/>
          <w:rtl/>
        </w:rPr>
        <w:t>עמ</w:t>
      </w:r>
      <w:proofErr w:type="spellEnd"/>
      <w:r>
        <w:rPr>
          <w:rFonts w:cs="David" w:hint="cs"/>
          <w:sz w:val="22"/>
          <w:szCs w:val="22"/>
          <w:rtl/>
        </w:rPr>
        <w:t>'</w:t>
      </w:r>
      <w:r w:rsidRPr="00655EFB">
        <w:rPr>
          <w:rFonts w:cs="David" w:hint="cs"/>
          <w:sz w:val="22"/>
          <w:szCs w:val="22"/>
          <w:rtl/>
        </w:rPr>
        <w:t xml:space="preserve"> 83 </w:t>
      </w:r>
      <w:r w:rsidRPr="00655EFB">
        <w:rPr>
          <w:rFonts w:cs="David"/>
          <w:sz w:val="22"/>
          <w:szCs w:val="22"/>
          <w:rtl/>
        </w:rPr>
        <w:t>–</w:t>
      </w:r>
      <w:r w:rsidRPr="00655EFB">
        <w:rPr>
          <w:rFonts w:cs="David" w:hint="cs"/>
          <w:sz w:val="22"/>
          <w:szCs w:val="22"/>
          <w:rtl/>
        </w:rPr>
        <w:t xml:space="preserve"> 107. </w:t>
      </w:r>
    </w:p>
    <w:p w:rsidR="004268D1" w:rsidRPr="00C06FC8" w:rsidRDefault="004268D1" w:rsidP="004268D1">
      <w:pPr>
        <w:pStyle w:val="ab"/>
        <w:rPr>
          <w:rFonts w:cs="David"/>
          <w:sz w:val="22"/>
          <w:szCs w:val="22"/>
          <w:rtl/>
        </w:rPr>
      </w:pPr>
      <w:r>
        <w:rPr>
          <w:rFonts w:cs="David" w:hint="cs"/>
          <w:sz w:val="22"/>
          <w:szCs w:val="22"/>
          <w:rtl/>
        </w:rPr>
        <w:t>ו</w:t>
      </w:r>
      <w:r w:rsidRPr="00C06FC8">
        <w:rPr>
          <w:rFonts w:cs="David" w:hint="cs"/>
          <w:sz w:val="22"/>
          <w:szCs w:val="22"/>
          <w:rtl/>
        </w:rPr>
        <w:t xml:space="preserve">ראו </w:t>
      </w:r>
      <w:proofErr w:type="spellStart"/>
      <w:r w:rsidRPr="00C06FC8">
        <w:rPr>
          <w:rFonts w:cs="David"/>
          <w:sz w:val="22"/>
          <w:szCs w:val="22"/>
        </w:rPr>
        <w:t>Fagenblat</w:t>
      </w:r>
      <w:proofErr w:type="spellEnd"/>
      <w:r w:rsidRPr="00C06FC8">
        <w:rPr>
          <w:rFonts w:cs="David" w:hint="cs"/>
          <w:sz w:val="22"/>
          <w:szCs w:val="22"/>
          <w:rtl/>
        </w:rPr>
        <w:t xml:space="preserve"> (לעיל הערה 13) </w:t>
      </w:r>
      <w:proofErr w:type="spellStart"/>
      <w:r w:rsidRPr="00C06FC8">
        <w:rPr>
          <w:rFonts w:cs="David" w:hint="cs"/>
          <w:sz w:val="22"/>
          <w:szCs w:val="22"/>
          <w:rtl/>
        </w:rPr>
        <w:t>עמ</w:t>
      </w:r>
      <w:proofErr w:type="spellEnd"/>
      <w:r w:rsidRPr="00C06FC8">
        <w:rPr>
          <w:rFonts w:cs="David" w:hint="cs"/>
          <w:sz w:val="22"/>
          <w:szCs w:val="22"/>
          <w:rtl/>
        </w:rPr>
        <w:t>'</w:t>
      </w:r>
      <w:r w:rsidRPr="00C06FC8">
        <w:rPr>
          <w:rFonts w:cs="David"/>
          <w:sz w:val="22"/>
          <w:szCs w:val="22"/>
        </w:rPr>
        <w:softHyphen/>
        <w:t xml:space="preserve">-  </w:t>
      </w:r>
      <w:r>
        <w:rPr>
          <w:rFonts w:cs="David" w:hint="cs"/>
          <w:sz w:val="22"/>
          <w:szCs w:val="22"/>
          <w:rtl/>
        </w:rPr>
        <w:t>299 -</w:t>
      </w:r>
      <w:r w:rsidRPr="00C06FC8">
        <w:rPr>
          <w:rFonts w:cs="David" w:hint="cs"/>
          <w:sz w:val="22"/>
          <w:szCs w:val="22"/>
          <w:rtl/>
        </w:rPr>
        <w:t xml:space="preserve"> 312.</w:t>
      </w:r>
    </w:p>
  </w:footnote>
  <w:footnote w:id="10">
    <w:p w:rsidR="004268D1" w:rsidRPr="00655EFB" w:rsidRDefault="004268D1" w:rsidP="004268D1">
      <w:pPr>
        <w:jc w:val="both"/>
        <w:rPr>
          <w:rFonts w:cs="David"/>
          <w:rtl/>
        </w:rPr>
      </w:pPr>
      <w:r w:rsidRPr="00655EFB">
        <w:rPr>
          <w:rStyle w:val="ad"/>
          <w:rFonts w:cs="David"/>
        </w:rPr>
        <w:footnoteRef/>
      </w:r>
      <w:r w:rsidRPr="00655EFB">
        <w:rPr>
          <w:rFonts w:cs="David"/>
        </w:rPr>
        <w:t xml:space="preserve"> </w:t>
      </w:r>
      <w:r w:rsidRPr="00655EFB">
        <w:rPr>
          <w:rFonts w:cs="David" w:hint="cs"/>
          <w:rtl/>
        </w:rPr>
        <w:t xml:space="preserve"> </w:t>
      </w:r>
      <w:r w:rsidRPr="00655EFB">
        <w:rPr>
          <w:rFonts w:cs="David" w:hint="cs"/>
          <w:rtl/>
        </w:rPr>
        <w:t xml:space="preserve">"המושג "בצלם אלוהים" היה יכול להוות דוגמא נוספת לאופן שבו מקשר </w:t>
      </w:r>
      <w:proofErr w:type="spellStart"/>
      <w:r w:rsidRPr="00655EFB">
        <w:rPr>
          <w:rFonts w:cs="David" w:hint="cs"/>
          <w:rtl/>
        </w:rPr>
        <w:t>לוינס</w:t>
      </w:r>
      <w:proofErr w:type="spellEnd"/>
      <w:r w:rsidRPr="00655EFB">
        <w:rPr>
          <w:rFonts w:cs="David" w:hint="cs"/>
          <w:rtl/>
        </w:rPr>
        <w:t xml:space="preserve"> בין הציר האנכי לציר האופקי. ראו </w:t>
      </w:r>
      <w:r w:rsidRPr="00655EFB">
        <w:rPr>
          <w:rFonts w:cs="David" w:hint="cs"/>
          <w:i/>
          <w:iCs/>
          <w:rtl/>
        </w:rPr>
        <w:t>מעבר לפסוק</w:t>
      </w:r>
      <w:r>
        <w:rPr>
          <w:rFonts w:cs="David" w:hint="cs"/>
          <w:i/>
          <w:iCs/>
          <w:rtl/>
        </w:rPr>
        <w:t xml:space="preserve"> </w:t>
      </w:r>
      <w:proofErr w:type="spellStart"/>
      <w:r>
        <w:rPr>
          <w:rFonts w:cs="David" w:hint="cs"/>
          <w:rtl/>
        </w:rPr>
        <w:t>עמ</w:t>
      </w:r>
      <w:proofErr w:type="spellEnd"/>
      <w:r>
        <w:rPr>
          <w:rFonts w:cs="David" w:hint="cs"/>
          <w:rtl/>
        </w:rPr>
        <w:t>'</w:t>
      </w:r>
      <w:r w:rsidRPr="00655EFB">
        <w:rPr>
          <w:rFonts w:cs="David" w:hint="cs"/>
          <w:i/>
          <w:iCs/>
          <w:rtl/>
        </w:rPr>
        <w:t xml:space="preserve"> </w:t>
      </w:r>
      <w:r w:rsidRPr="00655EFB">
        <w:rPr>
          <w:rFonts w:cs="David" w:hint="cs"/>
          <w:rtl/>
        </w:rPr>
        <w:t xml:space="preserve"> 198 </w:t>
      </w:r>
      <w:r w:rsidRPr="00655EFB">
        <w:rPr>
          <w:rFonts w:cs="David"/>
          <w:rtl/>
        </w:rPr>
        <w:t>–</w:t>
      </w:r>
      <w:r w:rsidRPr="00655EFB">
        <w:rPr>
          <w:rFonts w:cs="David" w:hint="cs"/>
          <w:rtl/>
        </w:rPr>
        <w:t xml:space="preserve"> 217 ; מלכה </w:t>
      </w:r>
      <w:r>
        <w:rPr>
          <w:rFonts w:cs="David" w:hint="cs"/>
          <w:rtl/>
        </w:rPr>
        <w:t xml:space="preserve">(לעיל הערה 7) </w:t>
      </w:r>
      <w:proofErr w:type="spellStart"/>
      <w:r>
        <w:rPr>
          <w:rFonts w:cs="David" w:hint="cs"/>
          <w:rtl/>
        </w:rPr>
        <w:t>עמ</w:t>
      </w:r>
      <w:proofErr w:type="spellEnd"/>
      <w:r>
        <w:rPr>
          <w:rFonts w:cs="David" w:hint="cs"/>
          <w:rtl/>
        </w:rPr>
        <w:t>'</w:t>
      </w:r>
      <w:r w:rsidRPr="00655EFB">
        <w:rPr>
          <w:rFonts w:cs="David" w:hint="cs"/>
          <w:rtl/>
        </w:rPr>
        <w:t xml:space="preserve">, 178 </w:t>
      </w:r>
      <w:r w:rsidRPr="00655EFB">
        <w:rPr>
          <w:rFonts w:cs="David"/>
          <w:rtl/>
        </w:rPr>
        <w:t>–</w:t>
      </w:r>
      <w:r>
        <w:rPr>
          <w:rFonts w:cs="David" w:hint="cs"/>
          <w:rtl/>
        </w:rPr>
        <w:t xml:space="preserve"> 184; </w:t>
      </w:r>
      <w:proofErr w:type="spellStart"/>
      <w:r w:rsidRPr="00655EFB">
        <w:rPr>
          <w:rFonts w:cs="David"/>
        </w:rPr>
        <w:t>Chalier</w:t>
      </w:r>
      <w:proofErr w:type="spellEnd"/>
      <w:r>
        <w:rPr>
          <w:rFonts w:cs="David" w:hint="cs"/>
          <w:rtl/>
        </w:rPr>
        <w:t xml:space="preserve"> (לעיל הערה 7) </w:t>
      </w:r>
      <w:proofErr w:type="spellStart"/>
      <w:r>
        <w:rPr>
          <w:rFonts w:cs="David" w:hint="cs"/>
          <w:rtl/>
        </w:rPr>
        <w:t>עמ</w:t>
      </w:r>
      <w:proofErr w:type="spellEnd"/>
      <w:r>
        <w:rPr>
          <w:rFonts w:cs="David" w:hint="cs"/>
          <w:rtl/>
        </w:rPr>
        <w:t xml:space="preserve">' 175 </w:t>
      </w:r>
      <w:r>
        <w:rPr>
          <w:rFonts w:cs="David"/>
          <w:rtl/>
        </w:rPr>
        <w:t>–</w:t>
      </w:r>
      <w:r>
        <w:rPr>
          <w:rFonts w:cs="David" w:hint="cs"/>
          <w:rtl/>
        </w:rPr>
        <w:t xml:space="preserve"> 192.</w:t>
      </w:r>
    </w:p>
    <w:p w:rsidR="004268D1" w:rsidRPr="00655EFB" w:rsidRDefault="004268D1" w:rsidP="004268D1">
      <w:pPr>
        <w:pStyle w:val="ab"/>
        <w:rPr>
          <w:rFonts w:cs="David"/>
          <w:sz w:val="22"/>
          <w:szCs w:val="22"/>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F9" w:rsidRDefault="00496E1C" w:rsidP="00207073">
    <w:pPr>
      <w:pStyle w:val="a3"/>
      <w:rPr>
        <w:rtl/>
      </w:rPr>
    </w:pPr>
    <w:r>
      <w:rPr>
        <w:rFonts w:hint="cs"/>
        <w:noProof/>
        <w:rtl/>
      </w:rPr>
      <w:drawing>
        <wp:anchor distT="0" distB="0" distL="114300" distR="114300" simplePos="0" relativeHeight="251657216" behindDoc="1" locked="0" layoutInCell="1" allowOverlap="1">
          <wp:simplePos x="0" y="0"/>
          <wp:positionH relativeFrom="column">
            <wp:posOffset>309880</wp:posOffset>
          </wp:positionH>
          <wp:positionV relativeFrom="paragraph">
            <wp:posOffset>-461645</wp:posOffset>
          </wp:positionV>
          <wp:extent cx="6776720" cy="1546860"/>
          <wp:effectExtent l="19050" t="0" r="5080" b="0"/>
          <wp:wrapNone/>
          <wp:docPr id="1" name="תמונה 0" descr="header_h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header_heb.jpg"/>
                  <pic:cNvPicPr>
                    <a:picLocks noChangeAspect="1" noChangeArrowheads="1"/>
                  </pic:cNvPicPr>
                </pic:nvPicPr>
                <pic:blipFill>
                  <a:blip r:embed="rId1"/>
                  <a:srcRect b="5833"/>
                  <a:stretch>
                    <a:fillRect/>
                  </a:stretch>
                </pic:blipFill>
                <pic:spPr bwMode="auto">
                  <a:xfrm>
                    <a:off x="0" y="0"/>
                    <a:ext cx="6776720" cy="1546860"/>
                  </a:xfrm>
                  <a:prstGeom prst="rect">
                    <a:avLst/>
                  </a:prstGeom>
                  <a:noFill/>
                  <a:ln w="9525">
                    <a:noFill/>
                    <a:miter lim="800000"/>
                    <a:headEnd/>
                    <a:tailEnd/>
                  </a:ln>
                </pic:spPr>
              </pic:pic>
            </a:graphicData>
          </a:graphic>
        </wp:anchor>
      </w:drawing>
    </w:r>
  </w:p>
  <w:p w:rsidR="001842F9" w:rsidRDefault="001842F9" w:rsidP="00207073">
    <w:pPr>
      <w:pStyle w:val="a3"/>
      <w:rPr>
        <w:rtl/>
      </w:rPr>
    </w:pPr>
  </w:p>
  <w:p w:rsidR="001842F9" w:rsidRDefault="001842F9" w:rsidP="00207073">
    <w:pPr>
      <w:pStyle w:val="a3"/>
      <w:rPr>
        <w:rtl/>
      </w:rPr>
    </w:pPr>
  </w:p>
  <w:p w:rsidR="001842F9" w:rsidRDefault="001842F9" w:rsidP="00207073">
    <w:pPr>
      <w:pStyle w:val="a3"/>
      <w:rPr>
        <w:rtl/>
      </w:rPr>
    </w:pPr>
  </w:p>
  <w:p w:rsidR="001842F9" w:rsidRDefault="001842F9" w:rsidP="00207073">
    <w:pPr>
      <w:pStyle w:val="a3"/>
      <w:rPr>
        <w:rtl/>
      </w:rPr>
    </w:pPr>
  </w:p>
  <w:p w:rsidR="001842F9" w:rsidRDefault="001842F9" w:rsidP="00207073">
    <w:pPr>
      <w:pStyle w:val="a3"/>
      <w:rPr>
        <w:rtl/>
      </w:rPr>
    </w:pPr>
  </w:p>
  <w:p w:rsidR="001842F9" w:rsidRDefault="001842F9" w:rsidP="00207073">
    <w:pPr>
      <w:pStyle w:val="a3"/>
      <w:rPr>
        <w:rtl/>
      </w:rPr>
    </w:pPr>
  </w:p>
  <w:p w:rsidR="001842F9" w:rsidRDefault="001842F9" w:rsidP="00207073">
    <w:pPr>
      <w:pStyle w:val="a3"/>
      <w:rPr>
        <w:rtl/>
      </w:rPr>
    </w:pPr>
  </w:p>
  <w:p w:rsidR="001842F9" w:rsidRDefault="001842F9" w:rsidP="00207073">
    <w:pPr>
      <w:pStyle w:val="a3"/>
    </w:pPr>
  </w:p>
  <w:p w:rsidR="001842F9" w:rsidRDefault="001842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047A"/>
    <w:multiLevelType w:val="hybridMultilevel"/>
    <w:tmpl w:val="C0B8CAC8"/>
    <w:lvl w:ilvl="0" w:tplc="C0447E54">
      <w:start w:val="1"/>
      <w:numFmt w:val="bullet"/>
      <w:lvlText w:val=""/>
      <w:lvlJc w:val="left"/>
      <w:pPr>
        <w:tabs>
          <w:tab w:val="num" w:pos="1800"/>
        </w:tabs>
        <w:ind w:left="1800" w:right="626" w:hanging="360"/>
      </w:pPr>
      <w:rPr>
        <w:rFonts w:ascii="Symbol" w:eastAsia="Times New Roman" w:hAnsi="Symbol" w:cs="David" w:hint="default"/>
      </w:rPr>
    </w:lvl>
    <w:lvl w:ilvl="1" w:tplc="040D0003" w:tentative="1">
      <w:start w:val="1"/>
      <w:numFmt w:val="bullet"/>
      <w:lvlText w:val="o"/>
      <w:lvlJc w:val="left"/>
      <w:pPr>
        <w:tabs>
          <w:tab w:val="num" w:pos="2614"/>
        </w:tabs>
        <w:ind w:left="2614" w:right="1440" w:hanging="360"/>
      </w:pPr>
      <w:rPr>
        <w:rFonts w:ascii="Courier New" w:hAnsi="Courier New" w:hint="default"/>
      </w:rPr>
    </w:lvl>
    <w:lvl w:ilvl="2" w:tplc="040D0005" w:tentative="1">
      <w:start w:val="1"/>
      <w:numFmt w:val="bullet"/>
      <w:lvlText w:val=""/>
      <w:lvlJc w:val="left"/>
      <w:pPr>
        <w:tabs>
          <w:tab w:val="num" w:pos="3334"/>
        </w:tabs>
        <w:ind w:left="3334" w:right="2160" w:hanging="360"/>
      </w:pPr>
      <w:rPr>
        <w:rFonts w:ascii="Wingdings" w:hAnsi="Wingdings" w:hint="default"/>
      </w:rPr>
    </w:lvl>
    <w:lvl w:ilvl="3" w:tplc="040D0001" w:tentative="1">
      <w:start w:val="1"/>
      <w:numFmt w:val="bullet"/>
      <w:lvlText w:val=""/>
      <w:lvlJc w:val="left"/>
      <w:pPr>
        <w:tabs>
          <w:tab w:val="num" w:pos="4054"/>
        </w:tabs>
        <w:ind w:left="4054" w:right="2880" w:hanging="360"/>
      </w:pPr>
      <w:rPr>
        <w:rFonts w:ascii="Symbol" w:hAnsi="Symbol" w:hint="default"/>
      </w:rPr>
    </w:lvl>
    <w:lvl w:ilvl="4" w:tplc="040D0003" w:tentative="1">
      <w:start w:val="1"/>
      <w:numFmt w:val="bullet"/>
      <w:lvlText w:val="o"/>
      <w:lvlJc w:val="left"/>
      <w:pPr>
        <w:tabs>
          <w:tab w:val="num" w:pos="4774"/>
        </w:tabs>
        <w:ind w:left="4774" w:right="3600" w:hanging="360"/>
      </w:pPr>
      <w:rPr>
        <w:rFonts w:ascii="Courier New" w:hAnsi="Courier New" w:hint="default"/>
      </w:rPr>
    </w:lvl>
    <w:lvl w:ilvl="5" w:tplc="040D0005" w:tentative="1">
      <w:start w:val="1"/>
      <w:numFmt w:val="bullet"/>
      <w:lvlText w:val=""/>
      <w:lvlJc w:val="left"/>
      <w:pPr>
        <w:tabs>
          <w:tab w:val="num" w:pos="5494"/>
        </w:tabs>
        <w:ind w:left="5494" w:right="4320" w:hanging="360"/>
      </w:pPr>
      <w:rPr>
        <w:rFonts w:ascii="Wingdings" w:hAnsi="Wingdings" w:hint="default"/>
      </w:rPr>
    </w:lvl>
    <w:lvl w:ilvl="6" w:tplc="040D0001" w:tentative="1">
      <w:start w:val="1"/>
      <w:numFmt w:val="bullet"/>
      <w:lvlText w:val=""/>
      <w:lvlJc w:val="left"/>
      <w:pPr>
        <w:tabs>
          <w:tab w:val="num" w:pos="6214"/>
        </w:tabs>
        <w:ind w:left="6214" w:right="5040" w:hanging="360"/>
      </w:pPr>
      <w:rPr>
        <w:rFonts w:ascii="Symbol" w:hAnsi="Symbol" w:hint="default"/>
      </w:rPr>
    </w:lvl>
    <w:lvl w:ilvl="7" w:tplc="040D0003" w:tentative="1">
      <w:start w:val="1"/>
      <w:numFmt w:val="bullet"/>
      <w:lvlText w:val="o"/>
      <w:lvlJc w:val="left"/>
      <w:pPr>
        <w:tabs>
          <w:tab w:val="num" w:pos="6934"/>
        </w:tabs>
        <w:ind w:left="6934" w:right="5760" w:hanging="360"/>
      </w:pPr>
      <w:rPr>
        <w:rFonts w:ascii="Courier New" w:hAnsi="Courier New" w:hint="default"/>
      </w:rPr>
    </w:lvl>
    <w:lvl w:ilvl="8" w:tplc="040D0005" w:tentative="1">
      <w:start w:val="1"/>
      <w:numFmt w:val="bullet"/>
      <w:lvlText w:val=""/>
      <w:lvlJc w:val="left"/>
      <w:pPr>
        <w:tabs>
          <w:tab w:val="num" w:pos="7654"/>
        </w:tabs>
        <w:ind w:left="7654" w:right="6480" w:hanging="360"/>
      </w:pPr>
      <w:rPr>
        <w:rFonts w:ascii="Wingdings" w:hAnsi="Wingdings" w:hint="default"/>
      </w:rPr>
    </w:lvl>
  </w:abstractNum>
  <w:abstractNum w:abstractNumId="1">
    <w:nsid w:val="4C855E99"/>
    <w:multiLevelType w:val="hybridMultilevel"/>
    <w:tmpl w:val="CA4200B0"/>
    <w:lvl w:ilvl="0" w:tplc="C0447E54">
      <w:start w:val="1"/>
      <w:numFmt w:val="bullet"/>
      <w:lvlText w:val=""/>
      <w:lvlJc w:val="left"/>
      <w:pPr>
        <w:tabs>
          <w:tab w:val="num" w:pos="626"/>
        </w:tabs>
        <w:ind w:left="626" w:right="626"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56B52FB9"/>
    <w:multiLevelType w:val="hybridMultilevel"/>
    <w:tmpl w:val="E37E1C42"/>
    <w:lvl w:ilvl="0" w:tplc="C0447E54">
      <w:start w:val="1"/>
      <w:numFmt w:val="bullet"/>
      <w:lvlText w:val=""/>
      <w:lvlJc w:val="left"/>
      <w:pPr>
        <w:tabs>
          <w:tab w:val="num" w:pos="626"/>
        </w:tabs>
        <w:ind w:left="626" w:right="626" w:hanging="360"/>
      </w:pPr>
      <w:rPr>
        <w:rFonts w:ascii="Symbol" w:eastAsia="Times New Roman" w:hAnsi="Symbol" w:cs="David" w:hint="default"/>
      </w:rPr>
    </w:lvl>
    <w:lvl w:ilvl="1" w:tplc="040D0001">
      <w:start w:val="1"/>
      <w:numFmt w:val="bullet"/>
      <w:lvlText w:val=""/>
      <w:lvlJc w:val="left"/>
      <w:pPr>
        <w:tabs>
          <w:tab w:val="num" w:pos="1346"/>
        </w:tabs>
        <w:ind w:left="1346" w:right="1346" w:hanging="360"/>
      </w:pPr>
      <w:rPr>
        <w:rFonts w:ascii="Symbol" w:hAnsi="Symbol" w:hint="default"/>
      </w:rPr>
    </w:lvl>
    <w:lvl w:ilvl="2" w:tplc="040D0005" w:tentative="1">
      <w:start w:val="1"/>
      <w:numFmt w:val="bullet"/>
      <w:lvlText w:val=""/>
      <w:lvlJc w:val="left"/>
      <w:pPr>
        <w:tabs>
          <w:tab w:val="num" w:pos="2066"/>
        </w:tabs>
        <w:ind w:left="2066" w:right="2066" w:hanging="360"/>
      </w:pPr>
      <w:rPr>
        <w:rFonts w:ascii="Wingdings" w:hAnsi="Wingdings" w:hint="default"/>
      </w:rPr>
    </w:lvl>
    <w:lvl w:ilvl="3" w:tplc="040D0001" w:tentative="1">
      <w:start w:val="1"/>
      <w:numFmt w:val="bullet"/>
      <w:lvlText w:val=""/>
      <w:lvlJc w:val="left"/>
      <w:pPr>
        <w:tabs>
          <w:tab w:val="num" w:pos="2786"/>
        </w:tabs>
        <w:ind w:left="2786" w:right="2786" w:hanging="360"/>
      </w:pPr>
      <w:rPr>
        <w:rFonts w:ascii="Symbol" w:hAnsi="Symbol" w:hint="default"/>
      </w:rPr>
    </w:lvl>
    <w:lvl w:ilvl="4" w:tplc="040D0003" w:tentative="1">
      <w:start w:val="1"/>
      <w:numFmt w:val="bullet"/>
      <w:lvlText w:val="o"/>
      <w:lvlJc w:val="left"/>
      <w:pPr>
        <w:tabs>
          <w:tab w:val="num" w:pos="3506"/>
        </w:tabs>
        <w:ind w:left="3506" w:right="3506" w:hanging="360"/>
      </w:pPr>
      <w:rPr>
        <w:rFonts w:ascii="Courier New" w:hAnsi="Courier New" w:hint="default"/>
      </w:rPr>
    </w:lvl>
    <w:lvl w:ilvl="5" w:tplc="040D0005" w:tentative="1">
      <w:start w:val="1"/>
      <w:numFmt w:val="bullet"/>
      <w:lvlText w:val=""/>
      <w:lvlJc w:val="left"/>
      <w:pPr>
        <w:tabs>
          <w:tab w:val="num" w:pos="4226"/>
        </w:tabs>
        <w:ind w:left="4226" w:right="4226" w:hanging="360"/>
      </w:pPr>
      <w:rPr>
        <w:rFonts w:ascii="Wingdings" w:hAnsi="Wingdings" w:hint="default"/>
      </w:rPr>
    </w:lvl>
    <w:lvl w:ilvl="6" w:tplc="040D0001" w:tentative="1">
      <w:start w:val="1"/>
      <w:numFmt w:val="bullet"/>
      <w:lvlText w:val=""/>
      <w:lvlJc w:val="left"/>
      <w:pPr>
        <w:tabs>
          <w:tab w:val="num" w:pos="4946"/>
        </w:tabs>
        <w:ind w:left="4946" w:right="4946" w:hanging="360"/>
      </w:pPr>
      <w:rPr>
        <w:rFonts w:ascii="Symbol" w:hAnsi="Symbol" w:hint="default"/>
      </w:rPr>
    </w:lvl>
    <w:lvl w:ilvl="7" w:tplc="040D0003" w:tentative="1">
      <w:start w:val="1"/>
      <w:numFmt w:val="bullet"/>
      <w:lvlText w:val="o"/>
      <w:lvlJc w:val="left"/>
      <w:pPr>
        <w:tabs>
          <w:tab w:val="num" w:pos="5666"/>
        </w:tabs>
        <w:ind w:left="5666" w:right="5666" w:hanging="360"/>
      </w:pPr>
      <w:rPr>
        <w:rFonts w:ascii="Courier New" w:hAnsi="Courier New" w:hint="default"/>
      </w:rPr>
    </w:lvl>
    <w:lvl w:ilvl="8" w:tplc="040D0005" w:tentative="1">
      <w:start w:val="1"/>
      <w:numFmt w:val="bullet"/>
      <w:lvlText w:val=""/>
      <w:lvlJc w:val="left"/>
      <w:pPr>
        <w:tabs>
          <w:tab w:val="num" w:pos="6386"/>
        </w:tabs>
        <w:ind w:left="6386" w:right="6386" w:hanging="360"/>
      </w:pPr>
      <w:rPr>
        <w:rFonts w:ascii="Wingdings" w:hAnsi="Wingdings" w:hint="default"/>
      </w:rPr>
    </w:lvl>
  </w:abstractNum>
  <w:abstractNum w:abstractNumId="3">
    <w:nsid w:val="5EED0084"/>
    <w:multiLevelType w:val="hybridMultilevel"/>
    <w:tmpl w:val="DAB26D20"/>
    <w:lvl w:ilvl="0" w:tplc="C0447E54">
      <w:start w:val="1"/>
      <w:numFmt w:val="bullet"/>
      <w:lvlText w:val=""/>
      <w:lvlJc w:val="left"/>
      <w:pPr>
        <w:tabs>
          <w:tab w:val="num" w:pos="626"/>
        </w:tabs>
        <w:ind w:left="626" w:right="626" w:hanging="360"/>
      </w:pPr>
      <w:rPr>
        <w:rFonts w:ascii="Symbol" w:eastAsia="Times New Roman" w:hAnsi="Symbol" w:cs="Davi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w15:presenceInfo w15:providerId="None" w15:userId="Had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rsids>
    <w:rsidRoot w:val="00207073"/>
    <w:rsid w:val="00052892"/>
    <w:rsid w:val="00062470"/>
    <w:rsid w:val="000B284C"/>
    <w:rsid w:val="000F12E2"/>
    <w:rsid w:val="00131BEC"/>
    <w:rsid w:val="0014087B"/>
    <w:rsid w:val="00167976"/>
    <w:rsid w:val="001842F9"/>
    <w:rsid w:val="001B4077"/>
    <w:rsid w:val="001D677A"/>
    <w:rsid w:val="00207073"/>
    <w:rsid w:val="00212CD6"/>
    <w:rsid w:val="002408A7"/>
    <w:rsid w:val="002D113C"/>
    <w:rsid w:val="00363B14"/>
    <w:rsid w:val="00392CB7"/>
    <w:rsid w:val="003E4D12"/>
    <w:rsid w:val="004268D1"/>
    <w:rsid w:val="00496E1C"/>
    <w:rsid w:val="004C3FE1"/>
    <w:rsid w:val="004C7167"/>
    <w:rsid w:val="00517EBB"/>
    <w:rsid w:val="0056757D"/>
    <w:rsid w:val="00567C25"/>
    <w:rsid w:val="005A334E"/>
    <w:rsid w:val="005E116E"/>
    <w:rsid w:val="005F330A"/>
    <w:rsid w:val="0061424A"/>
    <w:rsid w:val="00656C40"/>
    <w:rsid w:val="00664227"/>
    <w:rsid w:val="00677B1F"/>
    <w:rsid w:val="006F35F3"/>
    <w:rsid w:val="007B5360"/>
    <w:rsid w:val="007E5886"/>
    <w:rsid w:val="007E7A10"/>
    <w:rsid w:val="0082284F"/>
    <w:rsid w:val="008241CE"/>
    <w:rsid w:val="008867FD"/>
    <w:rsid w:val="008C5D33"/>
    <w:rsid w:val="009018D7"/>
    <w:rsid w:val="00913F30"/>
    <w:rsid w:val="00925F61"/>
    <w:rsid w:val="009D3CE4"/>
    <w:rsid w:val="009D653F"/>
    <w:rsid w:val="00A14F5E"/>
    <w:rsid w:val="00A555A0"/>
    <w:rsid w:val="00A747B7"/>
    <w:rsid w:val="00B170AF"/>
    <w:rsid w:val="00B572E7"/>
    <w:rsid w:val="00BD4C4F"/>
    <w:rsid w:val="00C01AA2"/>
    <w:rsid w:val="00C02564"/>
    <w:rsid w:val="00C11D25"/>
    <w:rsid w:val="00C5350A"/>
    <w:rsid w:val="00C63EA4"/>
    <w:rsid w:val="00C71F89"/>
    <w:rsid w:val="00D0696D"/>
    <w:rsid w:val="00D61B3C"/>
    <w:rsid w:val="00DE7B74"/>
    <w:rsid w:val="00EB1DE1"/>
    <w:rsid w:val="00EF7910"/>
    <w:rsid w:val="00F26FA5"/>
    <w:rsid w:val="00F56180"/>
    <w:rsid w:val="00F71068"/>
    <w:rsid w:val="00FC5C0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FD"/>
    <w:pPr>
      <w:bidi/>
      <w:spacing w:after="200" w:line="276" w:lineRule="auto"/>
    </w:pPr>
    <w:rPr>
      <w:sz w:val="22"/>
      <w:szCs w:val="22"/>
    </w:rPr>
  </w:style>
  <w:style w:type="paragraph" w:styleId="2">
    <w:name w:val="heading 2"/>
    <w:basedOn w:val="a"/>
    <w:next w:val="a"/>
    <w:link w:val="20"/>
    <w:qFormat/>
    <w:rsid w:val="00392CB7"/>
    <w:pPr>
      <w:keepNext/>
      <w:spacing w:after="0" w:line="240" w:lineRule="auto"/>
      <w:outlineLvl w:val="1"/>
    </w:pPr>
    <w:rPr>
      <w:rFonts w:ascii="Arial" w:eastAsia="Times New Roman" w:hAnsi="Arial" w:cs="Times New Roman"/>
      <w:b/>
      <w:bCs/>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073"/>
    <w:pPr>
      <w:tabs>
        <w:tab w:val="center" w:pos="4153"/>
        <w:tab w:val="right" w:pos="8306"/>
      </w:tabs>
      <w:spacing w:after="0" w:line="240" w:lineRule="auto"/>
    </w:pPr>
  </w:style>
  <w:style w:type="character" w:customStyle="1" w:styleId="a4">
    <w:name w:val="כותרת עליונה תו"/>
    <w:basedOn w:val="a0"/>
    <w:link w:val="a3"/>
    <w:uiPriority w:val="99"/>
    <w:rsid w:val="00207073"/>
  </w:style>
  <w:style w:type="paragraph" w:styleId="a5">
    <w:name w:val="footer"/>
    <w:basedOn w:val="a"/>
    <w:link w:val="a6"/>
    <w:uiPriority w:val="99"/>
    <w:unhideWhenUsed/>
    <w:rsid w:val="00207073"/>
    <w:pPr>
      <w:tabs>
        <w:tab w:val="center" w:pos="4153"/>
        <w:tab w:val="right" w:pos="8306"/>
      </w:tabs>
      <w:spacing w:after="0" w:line="240" w:lineRule="auto"/>
    </w:pPr>
  </w:style>
  <w:style w:type="character" w:customStyle="1" w:styleId="a6">
    <w:name w:val="כותרת תחתונה תו"/>
    <w:basedOn w:val="a0"/>
    <w:link w:val="a5"/>
    <w:uiPriority w:val="99"/>
    <w:rsid w:val="00207073"/>
  </w:style>
  <w:style w:type="paragraph" w:styleId="a7">
    <w:name w:val="Balloon Text"/>
    <w:basedOn w:val="a"/>
    <w:link w:val="a8"/>
    <w:uiPriority w:val="99"/>
    <w:semiHidden/>
    <w:unhideWhenUsed/>
    <w:rsid w:val="00207073"/>
    <w:pPr>
      <w:spacing w:after="0" w:line="240" w:lineRule="auto"/>
    </w:pPr>
    <w:rPr>
      <w:rFonts w:ascii="Tahoma" w:hAnsi="Tahoma" w:cs="Times New Roman"/>
      <w:sz w:val="16"/>
      <w:szCs w:val="16"/>
    </w:rPr>
  </w:style>
  <w:style w:type="character" w:customStyle="1" w:styleId="a8">
    <w:name w:val="טקסט בלונים תו"/>
    <w:link w:val="a7"/>
    <w:uiPriority w:val="99"/>
    <w:semiHidden/>
    <w:rsid w:val="00207073"/>
    <w:rPr>
      <w:rFonts w:ascii="Tahoma" w:hAnsi="Tahoma" w:cs="Tahoma"/>
      <w:sz w:val="16"/>
      <w:szCs w:val="16"/>
    </w:rPr>
  </w:style>
  <w:style w:type="character" w:customStyle="1" w:styleId="20">
    <w:name w:val="כותרת 2 תו"/>
    <w:link w:val="2"/>
    <w:rsid w:val="00392CB7"/>
    <w:rPr>
      <w:rFonts w:ascii="Arial" w:eastAsia="Times New Roman" w:hAnsi="Arial" w:cs="David"/>
      <w:b/>
      <w:bCs/>
      <w:sz w:val="24"/>
      <w:szCs w:val="24"/>
      <w:u w:val="single"/>
      <w:lang w:eastAsia="he-IL"/>
    </w:rPr>
  </w:style>
  <w:style w:type="paragraph" w:styleId="a9">
    <w:name w:val="Body Text"/>
    <w:basedOn w:val="a"/>
    <w:link w:val="aa"/>
    <w:rsid w:val="00392CB7"/>
    <w:pPr>
      <w:spacing w:after="0" w:line="240" w:lineRule="auto"/>
    </w:pPr>
    <w:rPr>
      <w:rFonts w:ascii="Arial" w:eastAsia="Times New Roman" w:hAnsi="Arial" w:cs="Times New Roman"/>
      <w:b/>
      <w:bCs/>
      <w:sz w:val="24"/>
      <w:szCs w:val="24"/>
      <w:lang w:eastAsia="he-IL"/>
    </w:rPr>
  </w:style>
  <w:style w:type="character" w:customStyle="1" w:styleId="aa">
    <w:name w:val="גוף טקסט תו"/>
    <w:link w:val="a9"/>
    <w:rsid w:val="00392CB7"/>
    <w:rPr>
      <w:rFonts w:ascii="Arial" w:eastAsia="Times New Roman" w:hAnsi="Arial" w:cs="David"/>
      <w:b/>
      <w:bCs/>
      <w:sz w:val="24"/>
      <w:szCs w:val="24"/>
      <w:lang w:eastAsia="he-IL"/>
    </w:rPr>
  </w:style>
  <w:style w:type="paragraph" w:styleId="ab">
    <w:name w:val="footnote text"/>
    <w:basedOn w:val="a"/>
    <w:link w:val="ac"/>
    <w:semiHidden/>
    <w:rsid w:val="004268D1"/>
    <w:pPr>
      <w:spacing w:after="0" w:line="240" w:lineRule="auto"/>
    </w:pPr>
    <w:rPr>
      <w:rFonts w:ascii="Times New Roman" w:eastAsia="Times New Roman" w:hAnsi="Times New Roman" w:cs="Times New Roman"/>
      <w:sz w:val="20"/>
      <w:szCs w:val="20"/>
      <w:lang w:eastAsia="he-IL"/>
    </w:rPr>
  </w:style>
  <w:style w:type="character" w:customStyle="1" w:styleId="ac">
    <w:name w:val="טקסט הערת שוליים תו"/>
    <w:link w:val="ab"/>
    <w:semiHidden/>
    <w:rsid w:val="004268D1"/>
    <w:rPr>
      <w:rFonts w:ascii="Times New Roman" w:eastAsia="Times New Roman" w:hAnsi="Times New Roman" w:cs="Times New Roman"/>
      <w:lang w:eastAsia="he-IL"/>
    </w:rPr>
  </w:style>
  <w:style w:type="character" w:styleId="ad">
    <w:name w:val="footnote reference"/>
    <w:semiHidden/>
    <w:rsid w:val="004268D1"/>
    <w:rPr>
      <w:vertAlign w:val="superscript"/>
    </w:rPr>
  </w:style>
  <w:style w:type="paragraph" w:customStyle="1" w:styleId="Normal14">
    <w:name w:val="Normal + ‏14 נק"/>
    <w:aliases w:val="מיושר לשני הצדדים,מרווח בין שורות:  שורה וחצי,משמאל לימין"/>
    <w:basedOn w:val="a"/>
    <w:rsid w:val="004268D1"/>
    <w:pPr>
      <w:bidi w:val="0"/>
      <w:spacing w:after="0" w:line="360" w:lineRule="auto"/>
      <w:jc w:val="both"/>
    </w:pPr>
    <w:rPr>
      <w:rFonts w:ascii="Times New Roman" w:eastAsia="Times New Roman" w:hAnsi="Times New Roman" w:cs="Times New Roman"/>
      <w:sz w:val="28"/>
      <w:szCs w:val="28"/>
      <w:lang w:eastAsia="he-IL"/>
    </w:rPr>
  </w:style>
  <w:style w:type="character" w:customStyle="1" w:styleId="psk1">
    <w:name w:val="psk1"/>
    <w:rsid w:val="00C02564"/>
    <w:rPr>
      <w:rFonts w:cs="David" w:hint="cs"/>
    </w:rPr>
  </w:style>
  <w:style w:type="character" w:styleId="ae">
    <w:name w:val="annotation reference"/>
    <w:basedOn w:val="a0"/>
    <w:uiPriority w:val="99"/>
    <w:semiHidden/>
    <w:unhideWhenUsed/>
    <w:rsid w:val="007E7A10"/>
    <w:rPr>
      <w:sz w:val="16"/>
      <w:szCs w:val="16"/>
    </w:rPr>
  </w:style>
  <w:style w:type="paragraph" w:styleId="af">
    <w:name w:val="annotation text"/>
    <w:basedOn w:val="a"/>
    <w:link w:val="af0"/>
    <w:uiPriority w:val="99"/>
    <w:semiHidden/>
    <w:unhideWhenUsed/>
    <w:rsid w:val="007E7A10"/>
    <w:pPr>
      <w:spacing w:line="240" w:lineRule="auto"/>
    </w:pPr>
    <w:rPr>
      <w:sz w:val="20"/>
      <w:szCs w:val="20"/>
    </w:rPr>
  </w:style>
  <w:style w:type="character" w:customStyle="1" w:styleId="af0">
    <w:name w:val="טקסט הערה תו"/>
    <w:basedOn w:val="a0"/>
    <w:link w:val="af"/>
    <w:uiPriority w:val="99"/>
    <w:semiHidden/>
    <w:rsid w:val="007E7A10"/>
  </w:style>
  <w:style w:type="paragraph" w:styleId="af1">
    <w:name w:val="annotation subject"/>
    <w:basedOn w:val="af"/>
    <w:next w:val="af"/>
    <w:link w:val="af2"/>
    <w:uiPriority w:val="99"/>
    <w:semiHidden/>
    <w:unhideWhenUsed/>
    <w:rsid w:val="007E7A10"/>
    <w:rPr>
      <w:b/>
      <w:bCs/>
    </w:rPr>
  </w:style>
  <w:style w:type="character" w:customStyle="1" w:styleId="af2">
    <w:name w:val="נושא הערה תו"/>
    <w:basedOn w:val="af0"/>
    <w:link w:val="af1"/>
    <w:uiPriority w:val="99"/>
    <w:semiHidden/>
    <w:rsid w:val="007E7A10"/>
    <w:rPr>
      <w:b/>
      <w:bCs/>
    </w:rPr>
  </w:style>
  <w:style w:type="paragraph" w:styleId="af3">
    <w:name w:val="Revision"/>
    <w:hidden/>
    <w:uiPriority w:val="99"/>
    <w:semiHidden/>
    <w:rsid w:val="007E7A1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1738</Words>
  <Characters>8695</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חזון המדרשה באורנים</vt:lpstr>
      <vt:lpstr>חזון המדרשה באורנים</vt:lpstr>
    </vt:vector>
  </TitlesOfParts>
  <Company>Microsoft</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חזון המדרשה באורנים</dc:title>
  <dc:subject/>
  <dc:creator>User</dc:creator>
  <cp:keywords/>
  <cp:lastModifiedBy>user</cp:lastModifiedBy>
  <cp:revision>3</cp:revision>
  <dcterms:created xsi:type="dcterms:W3CDTF">2015-04-21T12:41:00Z</dcterms:created>
  <dcterms:modified xsi:type="dcterms:W3CDTF">2015-04-30T08:26:00Z</dcterms:modified>
</cp:coreProperties>
</file>