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B5" w:rsidRPr="00201B54" w:rsidRDefault="003217B5" w:rsidP="00A51D6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95959"/>
          <w:sz w:val="34"/>
          <w:szCs w:val="34"/>
          <w:shd w:val="clear" w:color="auto" w:fill="FFFFFF"/>
          <w:rtl/>
        </w:rPr>
      </w:pPr>
      <w:r w:rsidRPr="00201B54">
        <w:rPr>
          <w:rFonts w:ascii="Arial" w:eastAsia="Times New Roman" w:hAnsi="Arial" w:cs="Arial" w:hint="eastAsia"/>
          <w:b/>
          <w:bCs/>
          <w:color w:val="595959"/>
          <w:sz w:val="34"/>
          <w:szCs w:val="34"/>
          <w:shd w:val="clear" w:color="auto" w:fill="FFFFFF"/>
          <w:rtl/>
        </w:rPr>
        <w:t>דברים</w:t>
      </w:r>
      <w:r w:rsidRPr="00201B54">
        <w:rPr>
          <w:rFonts w:ascii="Arial" w:eastAsia="Times New Roman" w:hAnsi="Arial" w:cs="Arial"/>
          <w:b/>
          <w:bCs/>
          <w:color w:val="595959"/>
          <w:sz w:val="34"/>
          <w:szCs w:val="34"/>
          <w:shd w:val="clear" w:color="auto" w:fill="FFFFFF"/>
          <w:rtl/>
        </w:rPr>
        <w:t xml:space="preserve"> </w:t>
      </w:r>
      <w:proofErr w:type="spellStart"/>
      <w:r w:rsidRPr="00201B54">
        <w:rPr>
          <w:rFonts w:ascii="Arial" w:eastAsia="Times New Roman" w:hAnsi="Arial" w:cs="Arial" w:hint="eastAsia"/>
          <w:b/>
          <w:bCs/>
          <w:color w:val="595959"/>
          <w:sz w:val="34"/>
          <w:szCs w:val="34"/>
          <w:shd w:val="clear" w:color="auto" w:fill="FFFFFF"/>
          <w:rtl/>
        </w:rPr>
        <w:t>יג</w:t>
      </w:r>
      <w:r w:rsidRPr="00201B54">
        <w:rPr>
          <w:rFonts w:ascii="Arial" w:eastAsia="Times New Roman" w:hAnsi="Arial" w:cs="Arial"/>
          <w:b/>
          <w:bCs/>
          <w:color w:val="595959"/>
          <w:sz w:val="34"/>
          <w:szCs w:val="34"/>
          <w:shd w:val="clear" w:color="auto" w:fill="FFFFFF"/>
          <w:rtl/>
        </w:rPr>
        <w:t>-</w:t>
      </w:r>
      <w:r w:rsidRPr="00201B54">
        <w:rPr>
          <w:rFonts w:ascii="Arial" w:eastAsia="Times New Roman" w:hAnsi="Arial" w:cs="Arial" w:hint="eastAsia"/>
          <w:b/>
          <w:bCs/>
          <w:color w:val="595959"/>
          <w:sz w:val="34"/>
          <w:szCs w:val="34"/>
          <w:shd w:val="clear" w:color="auto" w:fill="FFFFFF"/>
          <w:rtl/>
        </w:rPr>
        <w:t>יז</w:t>
      </w:r>
      <w:proofErr w:type="spellEnd"/>
      <w:r w:rsidRPr="00201B54">
        <w:rPr>
          <w:rFonts w:ascii="Arial" w:eastAsia="Times New Roman" w:hAnsi="Arial" w:cs="Arial"/>
          <w:b/>
          <w:bCs/>
          <w:color w:val="595959"/>
          <w:sz w:val="34"/>
          <w:szCs w:val="34"/>
          <w:shd w:val="clear" w:color="auto" w:fill="FFFFFF"/>
          <w:rtl/>
        </w:rPr>
        <w:t xml:space="preserve">: </w:t>
      </w:r>
      <w:r w:rsidR="00A51D6B">
        <w:rPr>
          <w:rFonts w:ascii="Arial" w:eastAsia="Times New Roman" w:hAnsi="Arial" w:cs="Arial" w:hint="cs"/>
          <w:b/>
          <w:bCs/>
          <w:color w:val="595959"/>
          <w:sz w:val="34"/>
          <w:szCs w:val="34"/>
          <w:shd w:val="clear" w:color="auto" w:fill="FFFFFF"/>
          <w:rtl/>
        </w:rPr>
        <w:t>כיצד</w:t>
      </w:r>
      <w:r w:rsidRPr="00201B54">
        <w:rPr>
          <w:rFonts w:ascii="Arial" w:eastAsia="Times New Roman" w:hAnsi="Arial" w:cs="Arial"/>
          <w:b/>
          <w:bCs/>
          <w:color w:val="595959"/>
          <w:sz w:val="34"/>
          <w:szCs w:val="34"/>
          <w:shd w:val="clear" w:color="auto" w:fill="FFFFFF"/>
          <w:rtl/>
        </w:rPr>
        <w:t xml:space="preserve"> מכוננים אומה</w:t>
      </w:r>
      <w:r w:rsidR="00A51D6B">
        <w:rPr>
          <w:rFonts w:ascii="Arial" w:eastAsia="Times New Roman" w:hAnsi="Arial" w:cs="Arial" w:hint="cs"/>
          <w:b/>
          <w:bCs/>
          <w:color w:val="595959"/>
          <w:sz w:val="34"/>
          <w:szCs w:val="34"/>
          <w:shd w:val="clear" w:color="auto" w:fill="FFFFFF"/>
          <w:rtl/>
        </w:rPr>
        <w:t>?</w:t>
      </w:r>
    </w:p>
    <w:p w:rsidR="00BC7F9B" w:rsidRPr="00201B54" w:rsidRDefault="00201B54" w:rsidP="00201B54">
      <w:pPr>
        <w:tabs>
          <w:tab w:val="left" w:pos="1721"/>
          <w:tab w:val="center" w:pos="41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595959"/>
          <w:sz w:val="32"/>
          <w:szCs w:val="32"/>
          <w:shd w:val="clear" w:color="auto" w:fill="FFFFFF"/>
          <w:rtl/>
        </w:rPr>
        <w:tab/>
      </w:r>
      <w:r>
        <w:rPr>
          <w:rFonts w:ascii="Arial" w:eastAsia="Times New Roman" w:hAnsi="Arial" w:cs="Arial"/>
          <w:b/>
          <w:bCs/>
          <w:color w:val="595959"/>
          <w:sz w:val="32"/>
          <w:szCs w:val="32"/>
          <w:shd w:val="clear" w:color="auto" w:fill="FFFFFF"/>
          <w:rtl/>
        </w:rPr>
        <w:tab/>
      </w:r>
      <w:r w:rsidR="00BC7F9B" w:rsidRPr="00201B54">
        <w:rPr>
          <w:rFonts w:ascii="Arial" w:eastAsia="Times New Roman" w:hAnsi="Arial" w:cs="Arial"/>
          <w:b/>
          <w:bCs/>
          <w:color w:val="595959"/>
          <w:sz w:val="32"/>
          <w:szCs w:val="32"/>
          <w:shd w:val="clear" w:color="auto" w:fill="FFFFFF"/>
          <w:rtl/>
        </w:rPr>
        <w:t xml:space="preserve">דף למנחה </w:t>
      </w:r>
    </w:p>
    <w:p w:rsidR="00BC7F9B" w:rsidRPr="00BC7F9B" w:rsidRDefault="00A51D6B" w:rsidP="00A51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ב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פרקים </w:t>
      </w:r>
      <w:proofErr w:type="spellStart"/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יג-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י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ז</w:t>
      </w:r>
      <w:proofErr w:type="spellEnd"/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</w:t>
      </w:r>
      <w:r w:rsidR="00C61A04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בספר דברים 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מובא רצף של הלכות העוסקות</w:t>
      </w:r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בעבודה זרה, נביא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י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שקר, כשרות, מעשר ושמיטה.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 </w:t>
      </w:r>
      <w:r w:rsidR="00201B54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ניתן להציע כי 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החוט המקשר ביניהן הוא 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אחדות עם ישראל</w:t>
      </w:r>
      <w:r w:rsidR="00C61A04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 ובניית האומה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.</w:t>
      </w:r>
    </w:p>
    <w:p w:rsidR="00BC7F9B" w:rsidRPr="00BC7F9B" w:rsidRDefault="00BC7F9B" w:rsidP="00201B54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C7F9B" w:rsidRPr="00BC7F9B" w:rsidRDefault="00201B54" w:rsidP="0020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את הלימוד 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נפתח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ב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שיר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 'אחדות'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של 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להקת 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אתנ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י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קס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. אפשר לפתח ממנו דיון על דרכי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התמודדות עם שוני בין אנשים. 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האם הפתרון של השיר </w:t>
      </w:r>
      <w:r w:rsidR="003217B5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–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 להתחתן </w:t>
      </w:r>
      <w:r w:rsidR="003217B5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–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 הוא כה פשוט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</w:rPr>
        <w:t xml:space="preserve"> ?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האם הקריאה 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'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העם רוצה אחדות, לכל עדה יש משהו מיוחד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'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, 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אכן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מובילה לאחדות? </w:t>
      </w:r>
    </w:p>
    <w:p w:rsidR="00BC7F9B" w:rsidRPr="00BC7F9B" w:rsidRDefault="00BC7F9B" w:rsidP="00201B54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C7F9B" w:rsidRPr="00BC7F9B" w:rsidRDefault="003217B5" w:rsidP="00C61A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בלב הלימוד 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ננסה לבחון את ה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עקרונות הנדרשים 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לכינון עם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.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נבדוק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</w:t>
      </w:r>
      <w:r w:rsidR="00201B54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את 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היחס של 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התורה 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לאחדות ו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איזה 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מודל ה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י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א מציע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ה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. </w:t>
      </w:r>
    </w:p>
    <w:p w:rsidR="00BC7F9B" w:rsidRPr="00BC7F9B" w:rsidRDefault="00BC7F9B" w:rsidP="00201B54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C7F9B" w:rsidRPr="00BC7F9B" w:rsidRDefault="00BC7F9B" w:rsidP="0020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המקור השני עוסק 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ב</w:t>
      </w:r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יחס הקשה של התורה ל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מי שנתפס</w:t>
      </w:r>
      <w:r w:rsidR="00201B54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ים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 </w:t>
      </w:r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כ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'</w:t>
      </w:r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בוגדים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'</w:t>
      </w:r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, 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כמערערים על הגבולות של העם ו</w:t>
      </w:r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מנסים להסיט את העם מן המרכז המשותף שלו. 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במדינות רבות </w:t>
      </w:r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העונש על בגידה הוא מוות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.</w:t>
      </w:r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בפרקים שלנו נראה כי נביא השקר ומי שמסית לעבודה זרה 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נתפסים כ</w:t>
      </w:r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סוג של 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בוגדים </w:t>
      </w:r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ועל כן גם העונש 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שלהם </w:t>
      </w:r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הוא מוות.</w:t>
      </w:r>
    </w:p>
    <w:p w:rsidR="00BC7F9B" w:rsidRPr="00BC7F9B" w:rsidRDefault="003217B5" w:rsidP="0020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נושא זה עשוי להעלות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תחושות קשות בקרב המשתתפים, וראוי לפתח זאת לדיון: האם החברה רשאית להוציא להורג אדם שבוגד בה ויוצא כנגד יסודותיה? האם זוהי עמדה שמקובלת היום? </w:t>
      </w:r>
    </w:p>
    <w:p w:rsidR="00BC7F9B" w:rsidRPr="00BC7F9B" w:rsidRDefault="00BC7F9B" w:rsidP="00201B54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C7F9B" w:rsidRPr="00BC7F9B" w:rsidRDefault="00BC7F9B" w:rsidP="0063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בחלק ב נעסוק ביחס למעשים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 שונים</w:t>
      </w:r>
      <w:bookmarkStart w:id="0" w:name="_GoBack"/>
      <w:bookmarkEnd w:id="0"/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המייחדים את העם ומבדלים אותו מעמי האזור </w:t>
      </w:r>
      <w:r w:rsidR="003217B5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–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 באופן ההתאבלות, במאכלים וכדומה. לטענתי, זו הדרך של התורה לעודד אחדות ונבדלות של העם. </w:t>
      </w:r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שאלת המפתח כאן ה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יא,</w:t>
      </w:r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האם 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גם </w:t>
      </w:r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היום אחדות עוברת דרך מעשים? או שיש דרכים אחרות לבטא אחדות</w:t>
      </w:r>
      <w:r w:rsidR="003217B5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 והיבדלות.</w:t>
      </w:r>
      <w:r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</w:t>
      </w:r>
    </w:p>
    <w:p w:rsidR="00BC7F9B" w:rsidRPr="00BC7F9B" w:rsidRDefault="00BC7F9B" w:rsidP="00201B54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C7F9B" w:rsidRPr="00BC7F9B" w:rsidRDefault="003217B5" w:rsidP="0020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העיקרון השלישי של האחדות מובא 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בחלק ג </w:t>
      </w:r>
      <w:r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–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 בניית 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אתוס משותף של העם 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היוצא 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מעבדות לחירות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.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התורה 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חוזרת ומדגישה זיכרון זה ואכן הוא נשזר בזיכרון הלאומי </w:t>
      </w:r>
      <w:r w:rsidR="003A170B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עד ימינו ומנחה את המוסר היהודי. 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הסיפור של דרו ורב נחמן </w:t>
      </w:r>
      <w:r w:rsidR="003A170B"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מלמד כי עצם השאלה לעבד ותשובתו העוסקת במהות החירות, פטרה את ר' נחמן מעיסוק ביציאת מצרים. 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האם היום יש אתוס מכונן שונה לעם היהודי? למדינת ישראל?</w:t>
      </w:r>
    </w:p>
    <w:p w:rsidR="00BC7F9B" w:rsidRPr="00BC7F9B" w:rsidRDefault="00BC7F9B" w:rsidP="00201B54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C7F9B" w:rsidRPr="00BC7F9B" w:rsidRDefault="003A170B" w:rsidP="0020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לבסוף נעסוק בשאלת 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>המלוכה כמגבשת זהות של אומה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.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נשווה את מודל המלוכה הכללי ש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ל 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היהדות למודל המלוכה שמציג דיסני. 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>נשאל מהי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דרכה של האומה לאחדות, איזה מודל יותר מתאים לאחדות</w:t>
      </w:r>
      <w:r>
        <w:rPr>
          <w:rFonts w:ascii="Arial" w:eastAsia="Times New Roman" w:hAnsi="Arial" w:cs="Arial" w:hint="cs"/>
          <w:color w:val="595959"/>
          <w:sz w:val="24"/>
          <w:szCs w:val="24"/>
          <w:shd w:val="clear" w:color="auto" w:fill="FFFFFF"/>
          <w:rtl/>
        </w:rPr>
        <w:t xml:space="preserve"> -</w:t>
      </w:r>
      <w:r w:rsidR="00BC7F9B" w:rsidRPr="00BC7F9B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rtl/>
        </w:rPr>
        <w:t xml:space="preserve"> המודל המקראי או המודל של דיסני?</w:t>
      </w:r>
    </w:p>
    <w:p w:rsidR="005A5CEB" w:rsidRPr="00BC7F9B" w:rsidRDefault="005A5CEB" w:rsidP="00201B54">
      <w:pPr>
        <w:jc w:val="both"/>
      </w:pPr>
    </w:p>
    <w:sectPr w:rsidR="005A5CEB" w:rsidRPr="00BC7F9B" w:rsidSect="006932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9B"/>
    <w:rsid w:val="00201B54"/>
    <w:rsid w:val="003217B5"/>
    <w:rsid w:val="003A170B"/>
    <w:rsid w:val="005A5CEB"/>
    <w:rsid w:val="006374D8"/>
    <w:rsid w:val="006932F7"/>
    <w:rsid w:val="00A51D6B"/>
    <w:rsid w:val="00BC7F9B"/>
    <w:rsid w:val="00C6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F5B576-A380-4486-A88F-FD44E381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C7F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01B5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201B5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ליאל גלילי</dc:creator>
  <cp:lastModifiedBy>אפרת גרבר</cp:lastModifiedBy>
  <cp:revision>3</cp:revision>
  <dcterms:created xsi:type="dcterms:W3CDTF">2015-07-21T06:45:00Z</dcterms:created>
  <dcterms:modified xsi:type="dcterms:W3CDTF">2015-07-21T06:49:00Z</dcterms:modified>
</cp:coreProperties>
</file>