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53" w:rsidRDefault="00C92653" w:rsidP="00C92653">
      <w:pPr>
        <w:jc w:val="center"/>
        <w:rPr>
          <w:rFonts w:asciiTheme="minorBidi" w:hAnsiTheme="minorBidi"/>
          <w:b/>
          <w:bCs/>
          <w:rtl/>
        </w:rPr>
      </w:pPr>
      <w:r w:rsidRPr="00C92653">
        <w:rPr>
          <w:rFonts w:asciiTheme="minorBidi" w:hAnsiTheme="minorBidi" w:cs="Arial"/>
          <w:b/>
          <w:bCs/>
          <w:noProof/>
          <w:rtl/>
        </w:rPr>
        <w:drawing>
          <wp:inline distT="0" distB="0" distL="0" distR="0">
            <wp:extent cx="1591158" cy="484505"/>
            <wp:effectExtent l="0" t="0" r="0" b="0"/>
            <wp:docPr id="2" name="תמונה 2" descr="C:\Users\Ayala\Dropbox\תמורה - אדמיניסטרציה\לוגואים\תמורה - יהדות ישרא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ala\Dropbox\תמורה - אדמיניסטרציה\לוגואים\תמורה - יהדות ישראלית.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246" cy="500061"/>
                    </a:xfrm>
                    <a:prstGeom prst="rect">
                      <a:avLst/>
                    </a:prstGeom>
                    <a:noFill/>
                    <a:ln>
                      <a:noFill/>
                    </a:ln>
                  </pic:spPr>
                </pic:pic>
              </a:graphicData>
            </a:graphic>
          </wp:inline>
        </w:drawing>
      </w:r>
    </w:p>
    <w:p w:rsidR="00C92653" w:rsidRDefault="00C92653" w:rsidP="00C92653">
      <w:pPr>
        <w:rPr>
          <w:rFonts w:asciiTheme="minorBidi" w:hAnsiTheme="minorBidi"/>
          <w:b/>
          <w:bCs/>
          <w:rtl/>
        </w:rPr>
      </w:pPr>
    </w:p>
    <w:p w:rsidR="006D7255" w:rsidRPr="008C54CD" w:rsidRDefault="006D7255" w:rsidP="0027472A">
      <w:pPr>
        <w:jc w:val="center"/>
        <w:rPr>
          <w:rFonts w:asciiTheme="minorBidi" w:hAnsiTheme="minorBidi"/>
          <w:b/>
          <w:bCs/>
          <w:rtl/>
        </w:rPr>
      </w:pPr>
      <w:r w:rsidRPr="008C54CD">
        <w:rPr>
          <w:rFonts w:asciiTheme="minorBidi" w:hAnsiTheme="minorBidi"/>
          <w:b/>
          <w:bCs/>
          <w:rtl/>
        </w:rPr>
        <w:t xml:space="preserve">ירמיהו ו' – </w:t>
      </w:r>
      <w:r w:rsidR="0027472A">
        <w:rPr>
          <w:rFonts w:asciiTheme="minorBidi" w:hAnsiTheme="minorBidi" w:hint="cs"/>
          <w:b/>
          <w:bCs/>
          <w:rtl/>
        </w:rPr>
        <w:t>י'</w:t>
      </w:r>
      <w:r w:rsidR="00C92653">
        <w:rPr>
          <w:rFonts w:asciiTheme="minorBidi" w:hAnsiTheme="minorBidi" w:hint="cs"/>
          <w:b/>
          <w:bCs/>
          <w:rtl/>
        </w:rPr>
        <w:t>: פולחן דתי מול התנהגות מוסרית</w:t>
      </w:r>
      <w:r w:rsidR="00EA55B1">
        <w:rPr>
          <w:rFonts w:asciiTheme="minorBidi" w:hAnsiTheme="minorBidi" w:hint="cs"/>
          <w:b/>
          <w:bCs/>
          <w:rtl/>
        </w:rPr>
        <w:t xml:space="preserve"> </w:t>
      </w:r>
      <w:r w:rsidR="00EA55B1">
        <w:rPr>
          <w:rFonts w:asciiTheme="minorBidi" w:hAnsiTheme="minorBidi"/>
          <w:b/>
          <w:bCs/>
          <w:rtl/>
        </w:rPr>
        <w:t>–</w:t>
      </w:r>
      <w:r w:rsidR="00EA55B1">
        <w:rPr>
          <w:rFonts w:asciiTheme="minorBidi" w:hAnsiTheme="minorBidi" w:hint="cs"/>
          <w:b/>
          <w:bCs/>
          <w:rtl/>
        </w:rPr>
        <w:t xml:space="preserve"> דף למנחה</w:t>
      </w:r>
    </w:p>
    <w:p w:rsidR="00D051A7" w:rsidRPr="008C54CD" w:rsidRDefault="00D051A7" w:rsidP="00D051A7">
      <w:pPr>
        <w:spacing w:after="0" w:line="240" w:lineRule="auto"/>
        <w:rPr>
          <w:rFonts w:asciiTheme="minorBidi" w:hAnsiTheme="minorBidi"/>
          <w:rtl/>
        </w:rPr>
      </w:pPr>
    </w:p>
    <w:p w:rsidR="00D301FA" w:rsidRDefault="00C92653" w:rsidP="00C92653">
      <w:pPr>
        <w:rPr>
          <w:rFonts w:asciiTheme="minorBidi" w:hAnsiTheme="minorBidi"/>
          <w:rtl/>
        </w:rPr>
      </w:pPr>
      <w:r>
        <w:rPr>
          <w:rFonts w:asciiTheme="minorBidi" w:hAnsiTheme="minorBidi" w:hint="cs"/>
          <w:rtl/>
        </w:rPr>
        <w:t xml:space="preserve">מטרת דף הלימוד היא לערוך הבחנה בין הפולחן הדתי להתנהגות המוסרי בימי ירמיהו, ולשאול על הקשר ביניהם. האם יכול להיות שהפולחן הדתי וההקפדה עליו דווקא מרחיקים את העם מן ההתנהגות המוסרית בין אדם לרעהו? </w:t>
      </w:r>
      <w:r w:rsidR="00D301FA" w:rsidRPr="008C54CD">
        <w:rPr>
          <w:rFonts w:asciiTheme="minorBidi" w:hAnsiTheme="minorBidi"/>
          <w:rtl/>
        </w:rPr>
        <w:t>ספר התורה נמצא</w:t>
      </w:r>
      <w:r w:rsidR="006D7255" w:rsidRPr="008C54CD">
        <w:rPr>
          <w:rFonts w:asciiTheme="minorBidi" w:hAnsiTheme="minorBidi"/>
          <w:rtl/>
        </w:rPr>
        <w:t xml:space="preserve"> בבית המקדש, קרוב לוודאי זה היה ספר דברים, בלבד.</w:t>
      </w:r>
      <w:r w:rsidR="00D301FA" w:rsidRPr="008C54CD">
        <w:rPr>
          <w:rFonts w:asciiTheme="minorBidi" w:hAnsiTheme="minorBidi"/>
          <w:rtl/>
        </w:rPr>
        <w:t xml:space="preserve"> יאשיהו קרא אותו וקרע את בגדיו כשהבין שישראל חטא וצפוי לחורבן. מה מן הכתוב בתורה כל כך חמור, המצדיק עונש חורבן? </w:t>
      </w:r>
      <w:r w:rsidR="006D7255" w:rsidRPr="008C54CD">
        <w:rPr>
          <w:rFonts w:asciiTheme="minorBidi" w:hAnsiTheme="minorBidi"/>
          <w:rtl/>
        </w:rPr>
        <w:t xml:space="preserve">האם </w:t>
      </w:r>
      <w:r>
        <w:rPr>
          <w:rFonts w:asciiTheme="minorBidi" w:hAnsiTheme="minorBidi" w:hint="cs"/>
          <w:rtl/>
        </w:rPr>
        <w:t xml:space="preserve">אלה </w:t>
      </w:r>
      <w:r w:rsidR="006D7255" w:rsidRPr="008C54CD">
        <w:rPr>
          <w:rFonts w:asciiTheme="minorBidi" w:hAnsiTheme="minorBidi"/>
          <w:rtl/>
        </w:rPr>
        <w:t>ה</w:t>
      </w:r>
      <w:r w:rsidR="00D301FA" w:rsidRPr="008C54CD">
        <w:rPr>
          <w:rFonts w:asciiTheme="minorBidi" w:hAnsiTheme="minorBidi"/>
          <w:rtl/>
        </w:rPr>
        <w:t>חוקים ומשפטים רבים על היחס ליתום, לאלמנה ולגר, על צדקה ומשפט</w:t>
      </w:r>
      <w:r>
        <w:rPr>
          <w:rFonts w:asciiTheme="minorBidi" w:hAnsiTheme="minorBidi" w:hint="cs"/>
          <w:rtl/>
        </w:rPr>
        <w:t>?</w:t>
      </w:r>
    </w:p>
    <w:p w:rsidR="0027472A" w:rsidRPr="0027472A" w:rsidRDefault="0027472A" w:rsidP="0027472A">
      <w:pPr>
        <w:rPr>
          <w:rFonts w:asciiTheme="minorBidi" w:hAnsiTheme="minorBidi"/>
          <w:rtl/>
        </w:rPr>
      </w:pPr>
      <w:r w:rsidRPr="0027472A">
        <w:rPr>
          <w:rFonts w:asciiTheme="minorBidi" w:hAnsiTheme="minorBidi"/>
          <w:rtl/>
        </w:rPr>
        <w:t>ירמיהו היה נביא, מן הכוהנים אשר בענתות שבארץ בנימין (ירמיהו א 1)</w:t>
      </w:r>
      <w:r w:rsidRPr="0027472A">
        <w:rPr>
          <w:rFonts w:asciiTheme="minorBidi" w:hAnsiTheme="minorBidi"/>
        </w:rPr>
        <w:t>.</w:t>
      </w:r>
      <w:r w:rsidRPr="0027472A">
        <w:rPr>
          <w:rFonts w:asciiTheme="minorBidi" w:hAnsiTheme="minorBidi" w:hint="cs"/>
          <w:rtl/>
        </w:rPr>
        <w:t xml:space="preserve"> </w:t>
      </w:r>
      <w:r w:rsidRPr="0027472A">
        <w:rPr>
          <w:rFonts w:asciiTheme="minorBidi" w:hAnsiTheme="minorBidi"/>
          <w:rtl/>
        </w:rPr>
        <w:t>נבואת ההקדשה בה התמנה לנביא (פרק א), היא מהשנה השלוש עשרה למלך יאשיהו (שנת 627 לפני הספירה)</w:t>
      </w:r>
      <w:r w:rsidRPr="0027472A">
        <w:rPr>
          <w:rFonts w:asciiTheme="minorBidi" w:hAnsiTheme="minorBidi"/>
        </w:rPr>
        <w:t>.</w:t>
      </w:r>
      <w:r w:rsidRPr="0027472A">
        <w:rPr>
          <w:rFonts w:asciiTheme="minorBidi" w:hAnsiTheme="minorBidi" w:hint="cs"/>
          <w:rtl/>
        </w:rPr>
        <w:t xml:space="preserve"> </w:t>
      </w:r>
      <w:r w:rsidRPr="0027472A">
        <w:rPr>
          <w:rFonts w:asciiTheme="minorBidi" w:hAnsiTheme="minorBidi"/>
          <w:rtl/>
        </w:rPr>
        <w:t xml:space="preserve">ירמיהו צמח לתוך נבואתו מנערות וחווה את אחת התקופות הסוערות ביותר בתולדות ישראל. </w:t>
      </w:r>
    </w:p>
    <w:p w:rsidR="0027472A" w:rsidRPr="0027472A" w:rsidRDefault="0027472A" w:rsidP="0027472A">
      <w:pPr>
        <w:rPr>
          <w:rFonts w:asciiTheme="minorBidi" w:hAnsiTheme="minorBidi"/>
          <w:rtl/>
        </w:rPr>
      </w:pPr>
      <w:r w:rsidRPr="0027472A">
        <w:rPr>
          <w:rFonts w:asciiTheme="minorBidi" w:hAnsiTheme="minorBidi" w:hint="cs"/>
          <w:rtl/>
        </w:rPr>
        <w:t xml:space="preserve">הפרק הראשון בנבואתו </w:t>
      </w:r>
      <w:r w:rsidRPr="0027472A">
        <w:rPr>
          <w:rFonts w:asciiTheme="minorBidi" w:hAnsiTheme="minorBidi"/>
          <w:rtl/>
        </w:rPr>
        <w:t>ראשיתו בימי יאשיהו המלך, בהם הי</w:t>
      </w:r>
      <w:r w:rsidRPr="0027472A">
        <w:rPr>
          <w:rFonts w:asciiTheme="minorBidi" w:hAnsiTheme="minorBidi" w:hint="cs"/>
          <w:rtl/>
        </w:rPr>
        <w:t>י</w:t>
      </w:r>
      <w:r w:rsidRPr="0027472A">
        <w:rPr>
          <w:rFonts w:asciiTheme="minorBidi" w:hAnsiTheme="minorBidi"/>
          <w:rtl/>
        </w:rPr>
        <w:t xml:space="preserve">תה תחושה באוויר שהנה חוזרים ימי הגדולה של ממלכת שלמה המלך. יאשיהו נתפס לא רק כרפורמטור דתי אלא כמנהיג לאומי החוזה את החזרת שבטי ישראל ויהודה לממלכה אחת גדולה. חזון זה לא היה מנותק מהמציאות. יאשיהו ניצל חלון הזדמנות פוליטי שבו המעצמות הגדולות - אשור , מצרים ובבל התגוששו ביניהן ולא שתו לבן לאזורנו. על רקע זה נקרע ירמיהו בין רצונו להשתתף בחזון הגאולה ולהביא לקיבוץ </w:t>
      </w:r>
      <w:proofErr w:type="spellStart"/>
      <w:r w:rsidRPr="0027472A">
        <w:rPr>
          <w:rFonts w:asciiTheme="minorBidi" w:hAnsiTheme="minorBidi"/>
          <w:rtl/>
        </w:rPr>
        <w:t>נידחי</w:t>
      </w:r>
      <w:proofErr w:type="spellEnd"/>
      <w:r w:rsidRPr="0027472A">
        <w:rPr>
          <w:rFonts w:asciiTheme="minorBidi" w:hAnsiTheme="minorBidi"/>
          <w:rtl/>
        </w:rPr>
        <w:t xml:space="preserve"> ישראל לבין ראייתו את החברה היהודי</w:t>
      </w:r>
      <w:r w:rsidRPr="0027472A">
        <w:rPr>
          <w:rFonts w:asciiTheme="minorBidi" w:hAnsiTheme="minorBidi" w:hint="cs"/>
          <w:rtl/>
        </w:rPr>
        <w:t>ת</w:t>
      </w:r>
      <w:r w:rsidRPr="0027472A">
        <w:rPr>
          <w:rFonts w:asciiTheme="minorBidi" w:hAnsiTheme="minorBidi"/>
          <w:rtl/>
        </w:rPr>
        <w:t xml:space="preserve"> המתנהלת בצביעות בכל הקשור לרפורמה הדתית. רוב נבואותיו מתקופה זו עוסקות בשני הדברים הללו: קריאה לשבטי הצפון לחבור לירושלים ומחאה חריפה על השקר באורחות החיים ביהודה ובירושלים. נפילתו של יאשיהו בקרב מיותר במגידו גרמה לשבר עמוק בלבו של ירמיה</w:t>
      </w:r>
      <w:r w:rsidRPr="0027472A">
        <w:rPr>
          <w:rFonts w:asciiTheme="minorBidi" w:hAnsiTheme="minorBidi" w:hint="cs"/>
          <w:rtl/>
        </w:rPr>
        <w:t>ו.</w:t>
      </w:r>
    </w:p>
    <w:p w:rsidR="0027472A" w:rsidRPr="0027472A" w:rsidRDefault="0027472A" w:rsidP="0027472A">
      <w:pPr>
        <w:rPr>
          <w:rFonts w:asciiTheme="minorBidi" w:hAnsiTheme="minorBidi"/>
        </w:rPr>
      </w:pPr>
      <w:r w:rsidRPr="0027472A">
        <w:rPr>
          <w:rFonts w:asciiTheme="minorBidi" w:hAnsiTheme="minorBidi"/>
          <w:rtl/>
        </w:rPr>
        <w:t>בשל נבואות הפורענות שלו היה ירמיהו שנוא ונרדף כל חייו – על ידי בני משפחתו ועל ידי העם כולו, כולל המלך, השרים והכוהנים. עם כל זאת, נשאר יציב ואיתן, נאמן לה' ולנבואת האמת שבפיו. למצוקותיו האישיות יש ביטוי רחב בנבואתו, והוא מרבה בדברי יגון וזעם אישיים ולאומיים, בחזונות פורענות וחורבן</w:t>
      </w:r>
      <w:r w:rsidRPr="0027472A">
        <w:rPr>
          <w:rFonts w:asciiTheme="minorBidi" w:hAnsiTheme="minorBidi"/>
        </w:rPr>
        <w:t>.</w:t>
      </w:r>
    </w:p>
    <w:p w:rsidR="0027472A" w:rsidRPr="0027472A" w:rsidRDefault="0027472A" w:rsidP="0027472A">
      <w:pPr>
        <w:rPr>
          <w:rFonts w:asciiTheme="minorBidi" w:hAnsiTheme="minorBidi"/>
        </w:rPr>
      </w:pPr>
      <w:r w:rsidRPr="0027472A">
        <w:rPr>
          <w:rFonts w:asciiTheme="minorBidi" w:hAnsiTheme="minorBidi"/>
          <w:rtl/>
        </w:rPr>
        <w:t>בדומה לנביאים עמוס, הושע וישעיהו שניבאו לפניו, מדבר ירמיהו בחריפות כנגד אמונת העם שיש בכוחם של הקורבנות</w:t>
      </w:r>
      <w:r w:rsidRPr="0027472A">
        <w:rPr>
          <w:rFonts w:asciiTheme="minorBidi" w:hAnsiTheme="minorBidi" w:hint="cs"/>
          <w:rtl/>
        </w:rPr>
        <w:t xml:space="preserve"> </w:t>
      </w:r>
      <w:r w:rsidRPr="0027472A">
        <w:rPr>
          <w:rFonts w:asciiTheme="minorBidi" w:hAnsiTheme="minorBidi"/>
          <w:rtl/>
        </w:rPr>
        <w:t>בלבד לכפר על מעשיהם הרעים כלפי זולתם, מבלי שישובו ממעשיהם הרעים</w:t>
      </w:r>
      <w:r w:rsidRPr="0027472A">
        <w:rPr>
          <w:rFonts w:asciiTheme="minorBidi" w:hAnsiTheme="minorBidi"/>
        </w:rPr>
        <w:t>.</w:t>
      </w:r>
    </w:p>
    <w:p w:rsidR="0027472A" w:rsidRPr="008C54CD" w:rsidRDefault="0027472A" w:rsidP="0027472A">
      <w:pPr>
        <w:rPr>
          <w:rFonts w:asciiTheme="minorBidi" w:hAnsiTheme="minorBidi"/>
        </w:rPr>
      </w:pPr>
      <w:r w:rsidRPr="0027472A">
        <w:rPr>
          <w:rFonts w:asciiTheme="minorBidi" w:hAnsiTheme="minorBidi"/>
          <w:rtl/>
        </w:rPr>
        <w:t xml:space="preserve">לאחר חורבן ירושלים והמקדש נשאר ירמיהו בארץ, ולא גלה לבבל (גלות בבל - בשנת 586 לפני הספירה). בעקבות רצח גדליהו בן אחיקם, שמונה על ידי </w:t>
      </w:r>
      <w:r w:rsidR="00EA55B1" w:rsidRPr="0027472A">
        <w:rPr>
          <w:rFonts w:asciiTheme="minorBidi" w:hAnsiTheme="minorBidi" w:hint="cs"/>
          <w:rtl/>
        </w:rPr>
        <w:t>נבוכדנצר</w:t>
      </w:r>
      <w:r w:rsidRPr="0027472A">
        <w:rPr>
          <w:rFonts w:asciiTheme="minorBidi" w:hAnsiTheme="minorBidi"/>
          <w:rtl/>
        </w:rPr>
        <w:t xml:space="preserve"> לשמש כנציב על שארית הפליטה, ברח ירמיהו למצרים, עם תלמידו/עוזרו ברוך בן-נריה. מקום מותו וזמן מותו אינם ידועים</w:t>
      </w:r>
      <w:r>
        <w:rPr>
          <w:rFonts w:asciiTheme="minorBidi" w:hAnsiTheme="minorBidi" w:hint="cs"/>
          <w:rtl/>
        </w:rPr>
        <w:t>.</w:t>
      </w:r>
      <w:r>
        <w:rPr>
          <w:rStyle w:val="a5"/>
          <w:rFonts w:asciiTheme="minorBidi" w:hAnsiTheme="minorBidi"/>
          <w:rtl/>
        </w:rPr>
        <w:footnoteReference w:id="1"/>
      </w:r>
    </w:p>
    <w:p w:rsidR="00EB7C1F" w:rsidRPr="008C54CD" w:rsidRDefault="0027472A" w:rsidP="0027472A">
      <w:pPr>
        <w:rPr>
          <w:rFonts w:asciiTheme="minorBidi" w:hAnsiTheme="minorBidi"/>
          <w:rtl/>
        </w:rPr>
      </w:pPr>
      <w:r>
        <w:rPr>
          <w:rFonts w:asciiTheme="minorBidi" w:hAnsiTheme="minorBidi" w:hint="cs"/>
          <w:rtl/>
        </w:rPr>
        <w:t xml:space="preserve">חזרה ליאשיהו </w:t>
      </w:r>
      <w:r>
        <w:rPr>
          <w:rFonts w:asciiTheme="minorBidi" w:hAnsiTheme="minorBidi"/>
          <w:rtl/>
        </w:rPr>
        <w:t>–</w:t>
      </w:r>
      <w:r>
        <w:rPr>
          <w:rFonts w:asciiTheme="minorBidi" w:hAnsiTheme="minorBidi" w:hint="cs"/>
          <w:rtl/>
        </w:rPr>
        <w:t xml:space="preserve"> המלך </w:t>
      </w:r>
      <w:r w:rsidR="006D7255" w:rsidRPr="008C54CD">
        <w:rPr>
          <w:rFonts w:asciiTheme="minorBidi" w:hAnsiTheme="minorBidi"/>
          <w:rtl/>
        </w:rPr>
        <w:t xml:space="preserve">מחליט כי </w:t>
      </w:r>
      <w:r w:rsidR="00D301FA" w:rsidRPr="008C54CD">
        <w:rPr>
          <w:rFonts w:asciiTheme="minorBidi" w:hAnsiTheme="minorBidi"/>
          <w:rtl/>
        </w:rPr>
        <w:t xml:space="preserve">אבן הבוחן לשיפוט </w:t>
      </w:r>
      <w:r w:rsidR="006D7255" w:rsidRPr="008C54CD">
        <w:rPr>
          <w:rFonts w:asciiTheme="minorBidi" w:hAnsiTheme="minorBidi"/>
          <w:rtl/>
        </w:rPr>
        <w:t>המלך</w:t>
      </w:r>
      <w:r w:rsidR="00D301FA" w:rsidRPr="008C54CD">
        <w:rPr>
          <w:rFonts w:asciiTheme="minorBidi" w:hAnsiTheme="minorBidi"/>
          <w:rtl/>
        </w:rPr>
        <w:t xml:space="preserve"> וישראל ולשיפוט העם, אינו מו</w:t>
      </w:r>
      <w:r>
        <w:rPr>
          <w:rFonts w:asciiTheme="minorBidi" w:hAnsiTheme="minorBidi"/>
          <w:rtl/>
        </w:rPr>
        <w:t>סרי</w:t>
      </w:r>
      <w:r w:rsidR="006D7255" w:rsidRPr="008C54CD">
        <w:rPr>
          <w:rFonts w:asciiTheme="minorBidi" w:hAnsiTheme="minorBidi"/>
          <w:rtl/>
        </w:rPr>
        <w:t xml:space="preserve"> </w:t>
      </w:r>
      <w:r>
        <w:rPr>
          <w:rFonts w:asciiTheme="minorBidi" w:hAnsiTheme="minorBidi" w:hint="cs"/>
          <w:rtl/>
        </w:rPr>
        <w:t>ו</w:t>
      </w:r>
      <w:r w:rsidR="006D7255" w:rsidRPr="008C54CD">
        <w:rPr>
          <w:rFonts w:asciiTheme="minorBidi" w:hAnsiTheme="minorBidi"/>
          <w:rtl/>
        </w:rPr>
        <w:t>אינו חברתי אלא הוא פולחני ועל כן פועל למיגור העבודה הזרה, הרס הבמות וריכוז הפולחן בבית המקדש בירושלים.</w:t>
      </w:r>
      <w:r w:rsidR="00D301FA" w:rsidRPr="008C54CD">
        <w:rPr>
          <w:rFonts w:asciiTheme="minorBidi" w:hAnsiTheme="minorBidi"/>
        </w:rPr>
        <w:t> </w:t>
      </w:r>
      <w:r w:rsidR="00D301FA" w:rsidRPr="008C54CD">
        <w:rPr>
          <w:rFonts w:asciiTheme="minorBidi" w:hAnsiTheme="minorBidi"/>
          <w:rtl/>
        </w:rPr>
        <w:t>זה הסיפור של ספר מלכים, אך אין זה הסיפור של ירמיהו, אבן הבוחן של העם הוא צדק ומשפט. יתר על כן, "מורעלות" יתר</w:t>
      </w:r>
      <w:r w:rsidR="006D7255" w:rsidRPr="008C54CD">
        <w:rPr>
          <w:rFonts w:asciiTheme="minorBidi" w:hAnsiTheme="minorBidi"/>
          <w:rtl/>
        </w:rPr>
        <w:t xml:space="preserve"> דתית </w:t>
      </w:r>
      <w:r w:rsidR="00D301FA" w:rsidRPr="008C54CD">
        <w:rPr>
          <w:rFonts w:asciiTheme="minorBidi" w:hAnsiTheme="minorBidi"/>
          <w:rtl/>
        </w:rPr>
        <w:t>זה מה שהאל חפץ בו</w:t>
      </w:r>
      <w:r w:rsidR="00D301FA" w:rsidRPr="008C54CD">
        <w:rPr>
          <w:rFonts w:asciiTheme="minorBidi" w:hAnsiTheme="minorBidi"/>
        </w:rPr>
        <w:t>.</w:t>
      </w:r>
    </w:p>
    <w:p w:rsidR="000A44CC" w:rsidRDefault="000A44CC" w:rsidP="000A44CC">
      <w:pPr>
        <w:rPr>
          <w:rFonts w:asciiTheme="minorBidi" w:eastAsia="Times New Roman" w:hAnsiTheme="minorBidi"/>
          <w:rtl/>
        </w:rPr>
      </w:pPr>
      <w:r w:rsidRPr="008C54CD">
        <w:rPr>
          <w:rFonts w:asciiTheme="minorBidi" w:eastAsia="Times New Roman" w:hAnsiTheme="minorBidi"/>
          <w:rtl/>
        </w:rPr>
        <w:t xml:space="preserve">בחברה מעין זו לא ניתן לחיות. אדם נאלץ לחיות בפחד בכל עת, לא ניתן לבטוח כי אין מדברים בך סרה בחדרי חדרים, פניהם של אנשים מולבנים בראש חוצות, והתרבות היא תרבות של שקר. אווירה זו מחלחלת לכל תחומי החיים – מהחיים המדיניים בהם לא ניתן להיות שליח ציבור בלי להיות חשוף ללשונות רעות אף אם אין בהן ממש, ועד החיים המשפחתיים בו החשד וחוסר האמון מחלחלים למערכת הקשרים שבין איש ואשתו. נקבע להלכה שאלה הם הנושאים החמורים ביותר, והרמב"ם </w:t>
      </w:r>
      <w:r w:rsidRPr="008C54CD">
        <w:rPr>
          <w:rFonts w:asciiTheme="minorBidi" w:eastAsia="Times New Roman" w:hAnsiTheme="minorBidi"/>
          <w:rtl/>
        </w:rPr>
        <w:lastRenderedPageBreak/>
        <w:t xml:space="preserve">אף כתב "אמרו חכמים: שלש עבירות </w:t>
      </w:r>
      <w:proofErr w:type="spellStart"/>
      <w:r w:rsidRPr="008C54CD">
        <w:rPr>
          <w:rFonts w:asciiTheme="minorBidi" w:eastAsia="Times New Roman" w:hAnsiTheme="minorBidi"/>
          <w:rtl/>
        </w:rPr>
        <w:t>נפרעין</w:t>
      </w:r>
      <w:proofErr w:type="spellEnd"/>
      <w:r w:rsidRPr="008C54CD">
        <w:rPr>
          <w:rFonts w:asciiTheme="minorBidi" w:eastAsia="Times New Roman" w:hAnsiTheme="minorBidi"/>
          <w:rtl/>
        </w:rPr>
        <w:t xml:space="preserve"> מן האדם בעולם הזה ואין לו חלק לעולם הבא - עבודת כוכבים וגילוי עריות ושפיכות דמים ולשון הרע כנגד כולם...</w:t>
      </w:r>
      <w:r w:rsidR="0027472A">
        <w:rPr>
          <w:rStyle w:val="a5"/>
          <w:rFonts w:asciiTheme="minorBidi" w:eastAsia="Times New Roman" w:hAnsiTheme="minorBidi"/>
          <w:rtl/>
        </w:rPr>
        <w:footnoteReference w:id="2"/>
      </w:r>
      <w:r w:rsidRPr="008C54CD">
        <w:rPr>
          <w:rFonts w:asciiTheme="minorBidi" w:eastAsia="Times New Roman" w:hAnsiTheme="minorBidi"/>
          <w:rtl/>
        </w:rPr>
        <w:t>".</w:t>
      </w:r>
    </w:p>
    <w:p w:rsidR="00E22872" w:rsidRDefault="00E22872" w:rsidP="00EA55B1">
      <w:pPr>
        <w:rPr>
          <w:rFonts w:asciiTheme="minorBidi" w:eastAsia="Times New Roman" w:hAnsiTheme="minorBidi"/>
          <w:rtl/>
        </w:rPr>
      </w:pPr>
      <w:r>
        <w:rPr>
          <w:rFonts w:asciiTheme="minorBidi" w:eastAsia="Times New Roman" w:hAnsiTheme="minorBidi" w:hint="cs"/>
          <w:rtl/>
        </w:rPr>
        <w:t>המצב המוסרי רעוע</w:t>
      </w:r>
      <w:r w:rsidR="00EA55B1">
        <w:rPr>
          <w:rFonts w:asciiTheme="minorBidi" w:eastAsia="Times New Roman" w:hAnsiTheme="minorBidi" w:hint="cs"/>
          <w:rtl/>
        </w:rPr>
        <w:t>.</w:t>
      </w:r>
      <w:r>
        <w:rPr>
          <w:rFonts w:asciiTheme="minorBidi" w:eastAsia="Times New Roman" w:hAnsiTheme="minorBidi" w:hint="cs"/>
          <w:rtl/>
        </w:rPr>
        <w:t xml:space="preserve"> עושקים יתום, אלמנה וגר, לשון הרע פשטה בקרב שכבות רחבות, הנביא ירמיהו מוכיח את המלך והעם ומנבא גלות</w:t>
      </w:r>
      <w:r w:rsidR="00EA55B1">
        <w:rPr>
          <w:rFonts w:asciiTheme="minorBidi" w:eastAsia="Times New Roman" w:hAnsiTheme="minorBidi" w:hint="cs"/>
          <w:rtl/>
        </w:rPr>
        <w:t>,</w:t>
      </w:r>
      <w:r>
        <w:rPr>
          <w:rFonts w:asciiTheme="minorBidi" w:eastAsia="Times New Roman" w:hAnsiTheme="minorBidi" w:hint="cs"/>
          <w:rtl/>
        </w:rPr>
        <w:t xml:space="preserve"> והמלך במה עסוק? בניתוץ הבמות וריכוז הפולחן בירושלים. חוקרים חושבים שהסיבה אינה דתית אלא פוליטית, אם הפולחן מתבצע רק בירושלים, השיפוט הוא בירושלים, הקרבנות הם רק בירושלים</w:t>
      </w:r>
      <w:r w:rsidR="00EA55B1">
        <w:rPr>
          <w:rFonts w:asciiTheme="minorBidi" w:eastAsia="Times New Roman" w:hAnsiTheme="minorBidi" w:hint="cs"/>
          <w:rtl/>
        </w:rPr>
        <w:t xml:space="preserve">, כל </w:t>
      </w:r>
      <w:r>
        <w:rPr>
          <w:rFonts w:asciiTheme="minorBidi" w:eastAsia="Times New Roman" w:hAnsiTheme="minorBidi" w:hint="cs"/>
          <w:rtl/>
        </w:rPr>
        <w:t>זה מחזק את שלטונו של יאשיהו.</w:t>
      </w:r>
    </w:p>
    <w:p w:rsidR="00EA55B1" w:rsidRDefault="00EA55B1" w:rsidP="00EA55B1">
      <w:pPr>
        <w:rPr>
          <w:rFonts w:asciiTheme="minorBidi" w:eastAsia="Times New Roman" w:hAnsiTheme="minorBidi"/>
          <w:rtl/>
        </w:rPr>
      </w:pPr>
      <w:r>
        <w:rPr>
          <w:rFonts w:asciiTheme="minorBidi" w:eastAsia="Times New Roman" w:hAnsiTheme="minorBidi" w:hint="cs"/>
          <w:rtl/>
        </w:rPr>
        <w:t xml:space="preserve">בלימוד עצמו, נעמיק במצבו הייחודי של ירמיהו ונביאים בכלל. מצד אחד, הוא הדמות הצועקת את קלקלותיה של החברה וקוראת לאנשים להתעורר. מצד שני, לחברה יחס אמביוולנטי כלפי נביאים, משום שלא תמיד אוהבים הם לראות את תמונתם שלהם עצמם, המשתקפת מפי הנביא. </w:t>
      </w:r>
    </w:p>
    <w:p w:rsidR="00C92653" w:rsidRDefault="00EA55B1" w:rsidP="00BF1374">
      <w:pPr>
        <w:rPr>
          <w:rFonts w:asciiTheme="minorBidi" w:eastAsia="Times New Roman" w:hAnsiTheme="minorBidi"/>
          <w:rtl/>
        </w:rPr>
      </w:pPr>
      <w:r>
        <w:rPr>
          <w:rFonts w:asciiTheme="minorBidi" w:eastAsia="Times New Roman" w:hAnsiTheme="minorBidi" w:hint="cs"/>
          <w:rtl/>
        </w:rPr>
        <w:t xml:space="preserve">בחלק השני, </w:t>
      </w:r>
      <w:r w:rsidR="00C92653">
        <w:rPr>
          <w:rFonts w:asciiTheme="minorBidi" w:eastAsia="Times New Roman" w:hAnsiTheme="minorBidi" w:hint="cs"/>
          <w:rtl/>
        </w:rPr>
        <w:t xml:space="preserve">נתבונן יחדיו על הפרשנות של אנשי זמננו על תופעה זו. </w:t>
      </w:r>
      <w:r>
        <w:rPr>
          <w:rFonts w:asciiTheme="minorBidi" w:eastAsia="Times New Roman" w:hAnsiTheme="minorBidi" w:hint="cs"/>
          <w:rtl/>
        </w:rPr>
        <w:t xml:space="preserve">נלמד </w:t>
      </w:r>
      <w:r w:rsidR="00BF1374">
        <w:rPr>
          <w:rFonts w:asciiTheme="minorBidi" w:eastAsia="Times New Roman" w:hAnsiTheme="minorBidi" w:hint="cs"/>
          <w:rtl/>
        </w:rPr>
        <w:t xml:space="preserve">כמה מדבריהם של מלומדים ואנשי ציבור של ימינו. וכאן ניתן לשאול: </w:t>
      </w:r>
      <w:r w:rsidR="00C92653">
        <w:rPr>
          <w:rFonts w:asciiTheme="minorBidi" w:eastAsia="Times New Roman" w:hAnsiTheme="minorBidi" w:hint="cs"/>
          <w:rtl/>
        </w:rPr>
        <w:t>האם ההקבלות לימינו אכן צודקות? מה אנו לומדים מדברי ירמיהו דאז על תופעות חברתיות באופן כללי? האם יש כאן דפוס אנושי שחוזר על עצמו, או שמא מד</w:t>
      </w:r>
      <w:r>
        <w:rPr>
          <w:rFonts w:asciiTheme="minorBidi" w:eastAsia="Times New Roman" w:hAnsiTheme="minorBidi" w:hint="cs"/>
          <w:rtl/>
        </w:rPr>
        <w:t>וב</w:t>
      </w:r>
      <w:r w:rsidR="00C92653">
        <w:rPr>
          <w:rFonts w:asciiTheme="minorBidi" w:eastAsia="Times New Roman" w:hAnsiTheme="minorBidi" w:hint="cs"/>
          <w:rtl/>
        </w:rPr>
        <w:t xml:space="preserve">ר במצב ייחודי וקיצוני בימי ירמיהו? </w:t>
      </w:r>
      <w:r w:rsidR="00BF1374">
        <w:rPr>
          <w:rFonts w:asciiTheme="minorBidi" w:eastAsia="Times New Roman" w:hAnsiTheme="minorBidi" w:hint="cs"/>
          <w:rtl/>
        </w:rPr>
        <w:t xml:space="preserve">איפה אנחנו פוגשים תופעות של התדרדרות מוסרית בימינו? האם התופעה היא ישראלית בלבד או שמא אוניברסלית? שאלות אלו יסייעו בידינו להרחיב את הדיון. </w:t>
      </w:r>
      <w:bookmarkStart w:id="0" w:name="_GoBack"/>
      <w:bookmarkEnd w:id="0"/>
    </w:p>
    <w:p w:rsidR="000A7293" w:rsidRDefault="000A7293" w:rsidP="00E22872">
      <w:pPr>
        <w:rPr>
          <w:rFonts w:asciiTheme="minorBidi" w:eastAsia="Times New Roman" w:hAnsiTheme="minorBidi"/>
          <w:rtl/>
        </w:rPr>
      </w:pPr>
    </w:p>
    <w:sectPr w:rsidR="000A7293" w:rsidSect="008E3E7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F82" w:rsidRDefault="00C76F82" w:rsidP="0027472A">
      <w:pPr>
        <w:spacing w:after="0" w:line="240" w:lineRule="auto"/>
      </w:pPr>
      <w:r>
        <w:separator/>
      </w:r>
    </w:p>
  </w:endnote>
  <w:endnote w:type="continuationSeparator" w:id="0">
    <w:p w:rsidR="00C76F82" w:rsidRDefault="00C76F82" w:rsidP="0027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F82" w:rsidRDefault="00C76F82" w:rsidP="0027472A">
      <w:pPr>
        <w:spacing w:after="0" w:line="240" w:lineRule="auto"/>
      </w:pPr>
      <w:r>
        <w:separator/>
      </w:r>
    </w:p>
  </w:footnote>
  <w:footnote w:type="continuationSeparator" w:id="0">
    <w:p w:rsidR="00C76F82" w:rsidRDefault="00C76F82" w:rsidP="0027472A">
      <w:pPr>
        <w:spacing w:after="0" w:line="240" w:lineRule="auto"/>
      </w:pPr>
      <w:r>
        <w:continuationSeparator/>
      </w:r>
    </w:p>
  </w:footnote>
  <w:footnote w:id="1">
    <w:p w:rsidR="0027472A" w:rsidRDefault="0027472A" w:rsidP="0027472A">
      <w:pPr>
        <w:pStyle w:val="a3"/>
        <w:rPr>
          <w:rtl/>
        </w:rPr>
      </w:pPr>
      <w:r>
        <w:rPr>
          <w:rStyle w:val="a5"/>
        </w:rPr>
        <w:footnoteRef/>
      </w:r>
      <w:r>
        <w:rPr>
          <w:rtl/>
        </w:rPr>
        <w:t xml:space="preserve"> </w:t>
      </w:r>
      <w:r>
        <w:rPr>
          <w:rFonts w:cs="Arial" w:hint="cs"/>
          <w:rtl/>
        </w:rPr>
        <w:t>קורות</w:t>
      </w:r>
      <w:r>
        <w:rPr>
          <w:rFonts w:cs="Arial"/>
          <w:rtl/>
        </w:rPr>
        <w:t xml:space="preserve"> </w:t>
      </w:r>
      <w:r>
        <w:rPr>
          <w:rFonts w:cs="Arial" w:hint="cs"/>
          <w:rtl/>
        </w:rPr>
        <w:t>ירמיהו</w:t>
      </w:r>
      <w:r>
        <w:rPr>
          <w:rFonts w:cs="Arial"/>
          <w:rtl/>
        </w:rPr>
        <w:t xml:space="preserve"> </w:t>
      </w:r>
      <w:r>
        <w:rPr>
          <w:rFonts w:cs="Arial" w:hint="cs"/>
          <w:rtl/>
        </w:rPr>
        <w:t>מובאים</w:t>
      </w:r>
      <w:r>
        <w:rPr>
          <w:rFonts w:cs="Arial"/>
          <w:rtl/>
        </w:rPr>
        <w:t xml:space="preserve"> </w:t>
      </w:r>
      <w:r>
        <w:rPr>
          <w:rFonts w:cs="Arial" w:hint="cs"/>
          <w:rtl/>
        </w:rPr>
        <w:t>מתוך</w:t>
      </w:r>
      <w:r>
        <w:rPr>
          <w:rFonts w:cs="Arial"/>
          <w:rtl/>
        </w:rPr>
        <w:t xml:space="preserve">: </w:t>
      </w:r>
      <w:r>
        <w:rPr>
          <w:rFonts w:cs="Arial" w:hint="cs"/>
          <w:rtl/>
        </w:rPr>
        <w:t>בני</w:t>
      </w:r>
      <w:r>
        <w:rPr>
          <w:rFonts w:cs="Arial"/>
          <w:rtl/>
        </w:rPr>
        <w:t xml:space="preserve"> </w:t>
      </w:r>
      <w:r>
        <w:rPr>
          <w:rFonts w:cs="Arial" w:hint="cs"/>
          <w:rtl/>
        </w:rPr>
        <w:t>לאו</w:t>
      </w:r>
      <w:r>
        <w:rPr>
          <w:rFonts w:cs="Arial"/>
          <w:rtl/>
        </w:rPr>
        <w:t xml:space="preserve">, </w:t>
      </w:r>
      <w:r>
        <w:rPr>
          <w:rFonts w:cs="Arial" w:hint="cs"/>
          <w:rtl/>
        </w:rPr>
        <w:t>ירמיהו</w:t>
      </w:r>
      <w:r>
        <w:rPr>
          <w:rFonts w:cs="Arial"/>
          <w:rtl/>
        </w:rPr>
        <w:t xml:space="preserve"> – </w:t>
      </w:r>
      <w:r>
        <w:rPr>
          <w:rFonts w:cs="Arial" w:hint="cs"/>
          <w:rtl/>
        </w:rPr>
        <w:t>גורלו</w:t>
      </w:r>
      <w:r>
        <w:rPr>
          <w:rFonts w:cs="Arial"/>
          <w:rtl/>
        </w:rPr>
        <w:t xml:space="preserve"> </w:t>
      </w:r>
      <w:r>
        <w:rPr>
          <w:rFonts w:cs="Arial" w:hint="cs"/>
          <w:rtl/>
        </w:rPr>
        <w:t>של</w:t>
      </w:r>
      <w:r>
        <w:rPr>
          <w:rFonts w:cs="Arial"/>
          <w:rtl/>
        </w:rPr>
        <w:t xml:space="preserve"> </w:t>
      </w:r>
      <w:r>
        <w:rPr>
          <w:rFonts w:cs="Arial" w:hint="cs"/>
          <w:rtl/>
        </w:rPr>
        <w:t>חוזה</w:t>
      </w:r>
      <w:r>
        <w:rPr>
          <w:rFonts w:cs="Arial"/>
          <w:rtl/>
        </w:rPr>
        <w:t xml:space="preserve">, </w:t>
      </w:r>
      <w:r>
        <w:rPr>
          <w:rFonts w:cs="Arial" w:hint="cs"/>
          <w:rtl/>
        </w:rPr>
        <w:t>ידיעות</w:t>
      </w:r>
      <w:r>
        <w:rPr>
          <w:rFonts w:cs="Arial"/>
          <w:rtl/>
        </w:rPr>
        <w:t xml:space="preserve"> </w:t>
      </w:r>
      <w:r>
        <w:rPr>
          <w:rFonts w:cs="Arial" w:hint="cs"/>
          <w:rtl/>
        </w:rPr>
        <w:t>אחרונות</w:t>
      </w:r>
      <w:r>
        <w:rPr>
          <w:rFonts w:cs="Arial"/>
          <w:rtl/>
        </w:rPr>
        <w:t xml:space="preserve">, 2010, </w:t>
      </w:r>
      <w:r>
        <w:rPr>
          <w:rFonts w:cs="Arial" w:hint="cs"/>
          <w:rtl/>
        </w:rPr>
        <w:t>עמ</w:t>
      </w:r>
      <w:r>
        <w:rPr>
          <w:rFonts w:cs="Arial"/>
          <w:rtl/>
        </w:rPr>
        <w:t>' 23-24</w:t>
      </w:r>
    </w:p>
    <w:p w:rsidR="0027472A" w:rsidRDefault="0027472A" w:rsidP="0027472A">
      <w:pPr>
        <w:pStyle w:val="a3"/>
        <w:rPr>
          <w:rFonts w:hint="cs"/>
        </w:rPr>
      </w:pPr>
      <w:proofErr w:type="spellStart"/>
      <w:r>
        <w:rPr>
          <w:rFonts w:cs="Arial" w:hint="cs"/>
          <w:rtl/>
        </w:rPr>
        <w:t>מקראנט</w:t>
      </w:r>
      <w:proofErr w:type="spellEnd"/>
      <w:r>
        <w:rPr>
          <w:rFonts w:cs="Arial"/>
          <w:rtl/>
        </w:rPr>
        <w:t xml:space="preserve"> – </w:t>
      </w:r>
      <w:r>
        <w:rPr>
          <w:rFonts w:cs="Arial" w:hint="cs"/>
          <w:rtl/>
        </w:rPr>
        <w:t>מאגר</w:t>
      </w:r>
      <w:r>
        <w:rPr>
          <w:rFonts w:cs="Arial"/>
          <w:rtl/>
        </w:rPr>
        <w:t xml:space="preserve"> </w:t>
      </w:r>
      <w:r>
        <w:rPr>
          <w:rFonts w:cs="Arial" w:hint="cs"/>
          <w:rtl/>
        </w:rPr>
        <w:t>מידע</w:t>
      </w:r>
      <w:r>
        <w:rPr>
          <w:rFonts w:cs="Arial"/>
          <w:rtl/>
        </w:rPr>
        <w:t xml:space="preserve"> </w:t>
      </w:r>
      <w:r>
        <w:t>http://mikranet.cet.ac.il/pages/item.asp?item=4273</w:t>
      </w:r>
    </w:p>
  </w:footnote>
  <w:footnote w:id="2">
    <w:p w:rsidR="0027472A" w:rsidRDefault="0027472A" w:rsidP="00EA55B1">
      <w:pPr>
        <w:pStyle w:val="a3"/>
        <w:rPr>
          <w:rFonts w:hint="cs"/>
        </w:rPr>
      </w:pPr>
      <w:r>
        <w:rPr>
          <w:rStyle w:val="a5"/>
        </w:rPr>
        <w:footnoteRef/>
      </w:r>
      <w:r>
        <w:rPr>
          <w:rtl/>
        </w:rPr>
        <w:t xml:space="preserve"> </w:t>
      </w:r>
      <w:r w:rsidR="00EA55B1" w:rsidRPr="00EA55B1">
        <w:rPr>
          <w:rFonts w:cs="Arial" w:hint="cs"/>
          <w:rtl/>
        </w:rPr>
        <w:t>היד</w:t>
      </w:r>
      <w:r w:rsidR="00EA55B1" w:rsidRPr="00EA55B1">
        <w:rPr>
          <w:rFonts w:cs="Arial"/>
          <w:rtl/>
        </w:rPr>
        <w:t xml:space="preserve"> </w:t>
      </w:r>
      <w:r w:rsidR="00EA55B1" w:rsidRPr="00EA55B1">
        <w:rPr>
          <w:rFonts w:cs="Arial" w:hint="cs"/>
          <w:rtl/>
        </w:rPr>
        <w:t>החזקה</w:t>
      </w:r>
      <w:r w:rsidR="00EA55B1" w:rsidRPr="00EA55B1">
        <w:rPr>
          <w:rFonts w:cs="Arial"/>
          <w:rtl/>
        </w:rPr>
        <w:t xml:space="preserve">, </w:t>
      </w:r>
      <w:r w:rsidR="00EA55B1" w:rsidRPr="00EA55B1">
        <w:rPr>
          <w:rFonts w:cs="Arial" w:hint="cs"/>
          <w:rtl/>
        </w:rPr>
        <w:t>הלכות</w:t>
      </w:r>
      <w:r w:rsidR="00EA55B1" w:rsidRPr="00EA55B1">
        <w:rPr>
          <w:rFonts w:cs="Arial"/>
          <w:rtl/>
        </w:rPr>
        <w:t xml:space="preserve"> </w:t>
      </w:r>
      <w:r w:rsidR="00EA55B1" w:rsidRPr="00EA55B1">
        <w:rPr>
          <w:rFonts w:cs="Arial" w:hint="cs"/>
          <w:rtl/>
        </w:rPr>
        <w:t>דעות</w:t>
      </w:r>
      <w:r w:rsidR="00EA55B1" w:rsidRPr="00EA55B1">
        <w:rPr>
          <w:rFonts w:cs="Arial"/>
          <w:rtl/>
        </w:rPr>
        <w:t xml:space="preserve">, </w:t>
      </w:r>
      <w:r w:rsidR="00EA55B1" w:rsidRPr="00EA55B1">
        <w:rPr>
          <w:rFonts w:cs="Arial" w:hint="cs"/>
          <w:rtl/>
        </w:rPr>
        <w:t>פרק</w:t>
      </w:r>
      <w:r w:rsidR="00EA55B1" w:rsidRPr="00EA55B1">
        <w:rPr>
          <w:rFonts w:cs="Arial"/>
          <w:rtl/>
        </w:rPr>
        <w:t xml:space="preserve"> </w:t>
      </w:r>
      <w:r w:rsidR="00EA55B1" w:rsidRPr="00EA55B1">
        <w:rPr>
          <w:rFonts w:cs="Arial" w:hint="cs"/>
          <w:rtl/>
        </w:rPr>
        <w:t>ז</w:t>
      </w:r>
      <w:r w:rsidR="00EA55B1" w:rsidRPr="00EA55B1">
        <w:rPr>
          <w:rFonts w:cs="Arial"/>
          <w:rtl/>
        </w:rPr>
        <w:t xml:space="preserve">, </w:t>
      </w:r>
      <w:r w:rsidR="00EA55B1" w:rsidRPr="00EA55B1">
        <w:rPr>
          <w:rFonts w:cs="Arial" w:hint="cs"/>
          <w:rtl/>
        </w:rPr>
        <w:t>הלכה</w:t>
      </w:r>
      <w:r w:rsidR="00EA55B1" w:rsidRPr="00EA55B1">
        <w:rPr>
          <w:rFonts w:cs="Arial"/>
          <w:rtl/>
        </w:rPr>
        <w:t xml:space="preserve"> </w:t>
      </w:r>
      <w:r w:rsidR="00EA55B1">
        <w:rPr>
          <w:rFonts w:cs="Arial" w:hint="cs"/>
          <w:rtl/>
        </w:rPr>
        <w:t>ד</w:t>
      </w:r>
      <w:r w:rsidR="00EA55B1" w:rsidRPr="00EA55B1">
        <w:rPr>
          <w:rFonts w:cs="Arial"/>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D3"/>
    <w:rsid w:val="00043956"/>
    <w:rsid w:val="00051975"/>
    <w:rsid w:val="0007094B"/>
    <w:rsid w:val="00071C43"/>
    <w:rsid w:val="00077EA8"/>
    <w:rsid w:val="00080C84"/>
    <w:rsid w:val="0008408E"/>
    <w:rsid w:val="000942CE"/>
    <w:rsid w:val="000977AE"/>
    <w:rsid w:val="000A028D"/>
    <w:rsid w:val="000A44CC"/>
    <w:rsid w:val="000A7293"/>
    <w:rsid w:val="000B1F82"/>
    <w:rsid w:val="000B73F1"/>
    <w:rsid w:val="000D0177"/>
    <w:rsid w:val="000D1613"/>
    <w:rsid w:val="000E58A7"/>
    <w:rsid w:val="000F1B8C"/>
    <w:rsid w:val="00105BAA"/>
    <w:rsid w:val="0010652C"/>
    <w:rsid w:val="001171AE"/>
    <w:rsid w:val="00127BC7"/>
    <w:rsid w:val="00145A12"/>
    <w:rsid w:val="0016754B"/>
    <w:rsid w:val="00167E73"/>
    <w:rsid w:val="00172F1E"/>
    <w:rsid w:val="0017560E"/>
    <w:rsid w:val="00190CAA"/>
    <w:rsid w:val="001A0E70"/>
    <w:rsid w:val="001A1D3D"/>
    <w:rsid w:val="001A5397"/>
    <w:rsid w:val="001C3A3C"/>
    <w:rsid w:val="001C4D5E"/>
    <w:rsid w:val="001C693B"/>
    <w:rsid w:val="001E00B2"/>
    <w:rsid w:val="001E5E17"/>
    <w:rsid w:val="0020559E"/>
    <w:rsid w:val="00213676"/>
    <w:rsid w:val="00220EEC"/>
    <w:rsid w:val="002254DE"/>
    <w:rsid w:val="00226773"/>
    <w:rsid w:val="0023061B"/>
    <w:rsid w:val="0023475C"/>
    <w:rsid w:val="00235664"/>
    <w:rsid w:val="00252E1F"/>
    <w:rsid w:val="00261EB2"/>
    <w:rsid w:val="0027472A"/>
    <w:rsid w:val="00277EEA"/>
    <w:rsid w:val="00281013"/>
    <w:rsid w:val="00284637"/>
    <w:rsid w:val="00286BE9"/>
    <w:rsid w:val="002917C1"/>
    <w:rsid w:val="002948A2"/>
    <w:rsid w:val="002A1DB2"/>
    <w:rsid w:val="002A4673"/>
    <w:rsid w:val="002B0350"/>
    <w:rsid w:val="002C60EA"/>
    <w:rsid w:val="002D183B"/>
    <w:rsid w:val="002D37F7"/>
    <w:rsid w:val="002F37F6"/>
    <w:rsid w:val="00307204"/>
    <w:rsid w:val="0030744E"/>
    <w:rsid w:val="00310381"/>
    <w:rsid w:val="003129B1"/>
    <w:rsid w:val="0031672B"/>
    <w:rsid w:val="00324047"/>
    <w:rsid w:val="00336F33"/>
    <w:rsid w:val="00350CFB"/>
    <w:rsid w:val="00362097"/>
    <w:rsid w:val="003805D9"/>
    <w:rsid w:val="00382E75"/>
    <w:rsid w:val="00386099"/>
    <w:rsid w:val="00393BE5"/>
    <w:rsid w:val="003A4B27"/>
    <w:rsid w:val="003C6CC6"/>
    <w:rsid w:val="003D376F"/>
    <w:rsid w:val="003D4E3E"/>
    <w:rsid w:val="003E200B"/>
    <w:rsid w:val="00416084"/>
    <w:rsid w:val="004254D2"/>
    <w:rsid w:val="00435CBA"/>
    <w:rsid w:val="00446BCC"/>
    <w:rsid w:val="00461051"/>
    <w:rsid w:val="0046693C"/>
    <w:rsid w:val="00477A3A"/>
    <w:rsid w:val="00481F6F"/>
    <w:rsid w:val="004946A6"/>
    <w:rsid w:val="004962F0"/>
    <w:rsid w:val="004A33F6"/>
    <w:rsid w:val="004A79E1"/>
    <w:rsid w:val="004B0D46"/>
    <w:rsid w:val="004B694A"/>
    <w:rsid w:val="004F1A1F"/>
    <w:rsid w:val="004F4F06"/>
    <w:rsid w:val="004F700B"/>
    <w:rsid w:val="004F7788"/>
    <w:rsid w:val="00542441"/>
    <w:rsid w:val="0056206A"/>
    <w:rsid w:val="0056777A"/>
    <w:rsid w:val="00572185"/>
    <w:rsid w:val="00584200"/>
    <w:rsid w:val="005A0238"/>
    <w:rsid w:val="005A6B84"/>
    <w:rsid w:val="005C10DA"/>
    <w:rsid w:val="005D2741"/>
    <w:rsid w:val="005E07F0"/>
    <w:rsid w:val="005E223F"/>
    <w:rsid w:val="005E2A21"/>
    <w:rsid w:val="005E42E0"/>
    <w:rsid w:val="005F252A"/>
    <w:rsid w:val="005F7DD8"/>
    <w:rsid w:val="00601884"/>
    <w:rsid w:val="00612686"/>
    <w:rsid w:val="006164F9"/>
    <w:rsid w:val="006247E0"/>
    <w:rsid w:val="00641DC4"/>
    <w:rsid w:val="00647E5C"/>
    <w:rsid w:val="00661F43"/>
    <w:rsid w:val="00670392"/>
    <w:rsid w:val="006736F2"/>
    <w:rsid w:val="006764F1"/>
    <w:rsid w:val="00677F86"/>
    <w:rsid w:val="00690FA6"/>
    <w:rsid w:val="006926DF"/>
    <w:rsid w:val="006B1C9B"/>
    <w:rsid w:val="006C123C"/>
    <w:rsid w:val="006D7255"/>
    <w:rsid w:val="006F15A1"/>
    <w:rsid w:val="006F748A"/>
    <w:rsid w:val="00706F67"/>
    <w:rsid w:val="007145DC"/>
    <w:rsid w:val="00742096"/>
    <w:rsid w:val="007449C6"/>
    <w:rsid w:val="00744C4E"/>
    <w:rsid w:val="00746445"/>
    <w:rsid w:val="007534C2"/>
    <w:rsid w:val="00781094"/>
    <w:rsid w:val="00786DFA"/>
    <w:rsid w:val="007A41A3"/>
    <w:rsid w:val="007C5B81"/>
    <w:rsid w:val="007F3A25"/>
    <w:rsid w:val="00802EB9"/>
    <w:rsid w:val="0082194C"/>
    <w:rsid w:val="00824A36"/>
    <w:rsid w:val="008461DE"/>
    <w:rsid w:val="00846A75"/>
    <w:rsid w:val="008556B4"/>
    <w:rsid w:val="008604CE"/>
    <w:rsid w:val="00867153"/>
    <w:rsid w:val="00876403"/>
    <w:rsid w:val="008859E6"/>
    <w:rsid w:val="00894AED"/>
    <w:rsid w:val="008A6DA0"/>
    <w:rsid w:val="008B55B1"/>
    <w:rsid w:val="008C54CD"/>
    <w:rsid w:val="008C6957"/>
    <w:rsid w:val="008D2CA4"/>
    <w:rsid w:val="008D7BAC"/>
    <w:rsid w:val="008E0C80"/>
    <w:rsid w:val="008E3E7F"/>
    <w:rsid w:val="008E5FAD"/>
    <w:rsid w:val="008F4460"/>
    <w:rsid w:val="008F5828"/>
    <w:rsid w:val="00904211"/>
    <w:rsid w:val="009042EB"/>
    <w:rsid w:val="009072EA"/>
    <w:rsid w:val="0091304B"/>
    <w:rsid w:val="009338A3"/>
    <w:rsid w:val="00936984"/>
    <w:rsid w:val="00944FE1"/>
    <w:rsid w:val="00964CDD"/>
    <w:rsid w:val="00980665"/>
    <w:rsid w:val="009864E4"/>
    <w:rsid w:val="00987224"/>
    <w:rsid w:val="009A3D4B"/>
    <w:rsid w:val="009A7F2F"/>
    <w:rsid w:val="009B15F5"/>
    <w:rsid w:val="009B34F9"/>
    <w:rsid w:val="009C49D2"/>
    <w:rsid w:val="009C6D70"/>
    <w:rsid w:val="009C6E52"/>
    <w:rsid w:val="009D16A8"/>
    <w:rsid w:val="009D39E1"/>
    <w:rsid w:val="00A12199"/>
    <w:rsid w:val="00A21F30"/>
    <w:rsid w:val="00A2431C"/>
    <w:rsid w:val="00A3498B"/>
    <w:rsid w:val="00A41E5A"/>
    <w:rsid w:val="00A47F7C"/>
    <w:rsid w:val="00A51729"/>
    <w:rsid w:val="00A54CB1"/>
    <w:rsid w:val="00A64652"/>
    <w:rsid w:val="00A71E6A"/>
    <w:rsid w:val="00A80C8C"/>
    <w:rsid w:val="00AA2ED2"/>
    <w:rsid w:val="00AA43E1"/>
    <w:rsid w:val="00AB0DD0"/>
    <w:rsid w:val="00AB277A"/>
    <w:rsid w:val="00AB2C00"/>
    <w:rsid w:val="00AC2FDB"/>
    <w:rsid w:val="00AC3AD1"/>
    <w:rsid w:val="00AC5522"/>
    <w:rsid w:val="00AE7D4A"/>
    <w:rsid w:val="00B05FB6"/>
    <w:rsid w:val="00B31E87"/>
    <w:rsid w:val="00B63596"/>
    <w:rsid w:val="00B65FDD"/>
    <w:rsid w:val="00B879D1"/>
    <w:rsid w:val="00B90766"/>
    <w:rsid w:val="00B96BAA"/>
    <w:rsid w:val="00BA7F7B"/>
    <w:rsid w:val="00BC68D3"/>
    <w:rsid w:val="00BE4670"/>
    <w:rsid w:val="00BF1374"/>
    <w:rsid w:val="00BF2012"/>
    <w:rsid w:val="00C03806"/>
    <w:rsid w:val="00C109FC"/>
    <w:rsid w:val="00C176F9"/>
    <w:rsid w:val="00C179DA"/>
    <w:rsid w:val="00C310D3"/>
    <w:rsid w:val="00C43140"/>
    <w:rsid w:val="00C531EF"/>
    <w:rsid w:val="00C64489"/>
    <w:rsid w:val="00C64ADF"/>
    <w:rsid w:val="00C65D61"/>
    <w:rsid w:val="00C67182"/>
    <w:rsid w:val="00C7518A"/>
    <w:rsid w:val="00C76F82"/>
    <w:rsid w:val="00C86210"/>
    <w:rsid w:val="00C92653"/>
    <w:rsid w:val="00C96350"/>
    <w:rsid w:val="00C97C8F"/>
    <w:rsid w:val="00CC38ED"/>
    <w:rsid w:val="00CC7C85"/>
    <w:rsid w:val="00CD2CF7"/>
    <w:rsid w:val="00CD585D"/>
    <w:rsid w:val="00CE0FD3"/>
    <w:rsid w:val="00CF018D"/>
    <w:rsid w:val="00CF1DB9"/>
    <w:rsid w:val="00CF40B4"/>
    <w:rsid w:val="00D007F8"/>
    <w:rsid w:val="00D051A7"/>
    <w:rsid w:val="00D06000"/>
    <w:rsid w:val="00D1158A"/>
    <w:rsid w:val="00D23A2E"/>
    <w:rsid w:val="00D26124"/>
    <w:rsid w:val="00D269F6"/>
    <w:rsid w:val="00D301FA"/>
    <w:rsid w:val="00D4632A"/>
    <w:rsid w:val="00D549E0"/>
    <w:rsid w:val="00D97501"/>
    <w:rsid w:val="00DA264C"/>
    <w:rsid w:val="00DB2864"/>
    <w:rsid w:val="00DC2788"/>
    <w:rsid w:val="00E0017D"/>
    <w:rsid w:val="00E05654"/>
    <w:rsid w:val="00E05759"/>
    <w:rsid w:val="00E07914"/>
    <w:rsid w:val="00E2115A"/>
    <w:rsid w:val="00E22872"/>
    <w:rsid w:val="00E41B91"/>
    <w:rsid w:val="00E574DD"/>
    <w:rsid w:val="00E65298"/>
    <w:rsid w:val="00E66A7B"/>
    <w:rsid w:val="00E678C6"/>
    <w:rsid w:val="00E7789A"/>
    <w:rsid w:val="00E85C92"/>
    <w:rsid w:val="00E86E84"/>
    <w:rsid w:val="00EA2AD9"/>
    <w:rsid w:val="00EA44F0"/>
    <w:rsid w:val="00EA55B1"/>
    <w:rsid w:val="00EA6F66"/>
    <w:rsid w:val="00EB566C"/>
    <w:rsid w:val="00EB7C1F"/>
    <w:rsid w:val="00EC5B08"/>
    <w:rsid w:val="00ED12C7"/>
    <w:rsid w:val="00EE7054"/>
    <w:rsid w:val="00F02592"/>
    <w:rsid w:val="00F46A2D"/>
    <w:rsid w:val="00F51783"/>
    <w:rsid w:val="00F527C4"/>
    <w:rsid w:val="00F544FB"/>
    <w:rsid w:val="00F60EF5"/>
    <w:rsid w:val="00F649CC"/>
    <w:rsid w:val="00F76F96"/>
    <w:rsid w:val="00F93574"/>
    <w:rsid w:val="00FA1283"/>
    <w:rsid w:val="00FA66D9"/>
    <w:rsid w:val="00FD381C"/>
    <w:rsid w:val="00FF11EE"/>
    <w:rsid w:val="00FF60E2"/>
    <w:rsid w:val="00FF71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10442-CA71-4007-B9F1-4C53F722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D2CF7"/>
    <w:rPr>
      <w:color w:val="0563C1" w:themeColor="hyperlink"/>
      <w:u w:val="single"/>
    </w:rPr>
  </w:style>
  <w:style w:type="character" w:styleId="FollowedHyperlink">
    <w:name w:val="FollowedHyperlink"/>
    <w:basedOn w:val="a0"/>
    <w:uiPriority w:val="99"/>
    <w:semiHidden/>
    <w:unhideWhenUsed/>
    <w:rsid w:val="000A7293"/>
    <w:rPr>
      <w:color w:val="954F72" w:themeColor="followedHyperlink"/>
      <w:u w:val="single"/>
    </w:rPr>
  </w:style>
  <w:style w:type="paragraph" w:styleId="a3">
    <w:name w:val="footnote text"/>
    <w:basedOn w:val="a"/>
    <w:link w:val="a4"/>
    <w:uiPriority w:val="99"/>
    <w:semiHidden/>
    <w:unhideWhenUsed/>
    <w:rsid w:val="0027472A"/>
    <w:pPr>
      <w:spacing w:after="0" w:line="240" w:lineRule="auto"/>
    </w:pPr>
    <w:rPr>
      <w:sz w:val="20"/>
      <w:szCs w:val="20"/>
    </w:rPr>
  </w:style>
  <w:style w:type="character" w:customStyle="1" w:styleId="a4">
    <w:name w:val="טקסט הערת שוליים תו"/>
    <w:basedOn w:val="a0"/>
    <w:link w:val="a3"/>
    <w:uiPriority w:val="99"/>
    <w:semiHidden/>
    <w:rsid w:val="0027472A"/>
    <w:rPr>
      <w:sz w:val="20"/>
      <w:szCs w:val="20"/>
    </w:rPr>
  </w:style>
  <w:style w:type="character" w:styleId="a5">
    <w:name w:val="footnote reference"/>
    <w:basedOn w:val="a0"/>
    <w:uiPriority w:val="99"/>
    <w:semiHidden/>
    <w:unhideWhenUsed/>
    <w:rsid w:val="002747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0790">
      <w:bodyDiv w:val="1"/>
      <w:marLeft w:val="0"/>
      <w:marRight w:val="0"/>
      <w:marTop w:val="0"/>
      <w:marBottom w:val="0"/>
      <w:divBdr>
        <w:top w:val="none" w:sz="0" w:space="0" w:color="auto"/>
        <w:left w:val="none" w:sz="0" w:space="0" w:color="auto"/>
        <w:bottom w:val="none" w:sz="0" w:space="0" w:color="auto"/>
        <w:right w:val="none" w:sz="0" w:space="0" w:color="auto"/>
      </w:divBdr>
    </w:div>
    <w:div w:id="7194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50F3-F9A5-4214-A74D-3E9D8A29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672</Words>
  <Characters>3364</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Jacoby</dc:creator>
  <cp:keywords/>
  <dc:description/>
  <cp:lastModifiedBy>Ayala Shanee</cp:lastModifiedBy>
  <cp:revision>3</cp:revision>
  <dcterms:created xsi:type="dcterms:W3CDTF">2016-06-15T16:45:00Z</dcterms:created>
  <dcterms:modified xsi:type="dcterms:W3CDTF">2016-06-19T09:54:00Z</dcterms:modified>
</cp:coreProperties>
</file>