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A3" w:rsidRPr="00A71AA3" w:rsidRDefault="00A71AA3" w:rsidP="00A71AA3">
      <w:pPr>
        <w:rPr>
          <w:b/>
          <w:bCs/>
          <w:sz w:val="24"/>
          <w:szCs w:val="24"/>
          <w:u w:val="single"/>
          <w:rtl/>
        </w:rPr>
      </w:pPr>
      <w:r w:rsidRPr="00A71AA3">
        <w:rPr>
          <w:rFonts w:hint="cs"/>
          <w:b/>
          <w:bCs/>
          <w:sz w:val="24"/>
          <w:szCs w:val="24"/>
          <w:u w:val="single"/>
          <w:rtl/>
        </w:rPr>
        <w:t>דף הנחייה- פסח שני</w:t>
      </w:r>
    </w:p>
    <w:p w:rsidR="004B6066" w:rsidRDefault="00A71AA3" w:rsidP="004B6066">
      <w:pPr>
        <w:rPr>
          <w:rFonts w:hint="cs"/>
          <w:sz w:val="24"/>
          <w:szCs w:val="24"/>
          <w:rtl/>
        </w:rPr>
      </w:pPr>
      <w:r w:rsidRPr="000A1CD6">
        <w:rPr>
          <w:sz w:val="24"/>
          <w:szCs w:val="24"/>
          <w:rtl/>
        </w:rPr>
        <w:t>סיפור פסח שני הוא סיפור ייחודי</w:t>
      </w:r>
      <w:r w:rsidR="004B6066">
        <w:rPr>
          <w:rFonts w:hint="cs"/>
          <w:sz w:val="24"/>
          <w:szCs w:val="24"/>
          <w:rtl/>
        </w:rPr>
        <w:t>.</w:t>
      </w:r>
      <w:r w:rsidRPr="000A1CD6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סיפור </w:t>
      </w:r>
      <w:r w:rsidRPr="000A1CD6">
        <w:rPr>
          <w:sz w:val="24"/>
          <w:szCs w:val="24"/>
          <w:rtl/>
        </w:rPr>
        <w:t>בו קבוצה מתוך העם מוחה על הדרתה מתוך הכלל וזוכה שמחאתה תשמע ואף תזכה לי</w:t>
      </w:r>
      <w:r>
        <w:rPr>
          <w:rFonts w:hint="cs"/>
          <w:sz w:val="24"/>
          <w:szCs w:val="24"/>
          <w:rtl/>
        </w:rPr>
        <w:t>י</w:t>
      </w:r>
      <w:r w:rsidRPr="000A1CD6">
        <w:rPr>
          <w:sz w:val="24"/>
          <w:szCs w:val="24"/>
          <w:rtl/>
        </w:rPr>
        <w:t xml:space="preserve">צר שינוי לדורות. באמצעות </w:t>
      </w:r>
      <w:r>
        <w:rPr>
          <w:rFonts w:hint="cs"/>
          <w:sz w:val="24"/>
          <w:szCs w:val="24"/>
          <w:rtl/>
        </w:rPr>
        <w:t>ה</w:t>
      </w:r>
      <w:r w:rsidRPr="000A1CD6">
        <w:rPr>
          <w:sz w:val="24"/>
          <w:szCs w:val="24"/>
          <w:rtl/>
        </w:rPr>
        <w:t>סיפור ניתן לבחון נושאים כמו: הדרה וקבלה חברתית, שוני מול שיוויון בקהילה וב</w:t>
      </w:r>
      <w:r w:rsidR="004B6066">
        <w:rPr>
          <w:rFonts w:hint="cs"/>
          <w:sz w:val="24"/>
          <w:szCs w:val="24"/>
          <w:rtl/>
        </w:rPr>
        <w:t>חוק</w:t>
      </w:r>
      <w:r w:rsidRPr="000A1CD6">
        <w:rPr>
          <w:sz w:val="24"/>
          <w:szCs w:val="24"/>
          <w:rtl/>
        </w:rPr>
        <w:t xml:space="preserve">, אינדיבידואליזם מול שייכות קהילתית, הערכה ערכית של מחאה חברתית ועוד. </w:t>
      </w:r>
    </w:p>
    <w:p w:rsidR="00A71AA3" w:rsidRDefault="00A71AA3" w:rsidP="004B6066">
      <w:pPr>
        <w:rPr>
          <w:sz w:val="24"/>
          <w:szCs w:val="24"/>
          <w:rtl/>
        </w:rPr>
      </w:pPr>
      <w:r w:rsidRPr="000A1CD6">
        <w:rPr>
          <w:sz w:val="24"/>
          <w:szCs w:val="24"/>
          <w:rtl/>
        </w:rPr>
        <w:t xml:space="preserve">דף לימוד </w:t>
      </w:r>
      <w:r>
        <w:rPr>
          <w:sz w:val="24"/>
          <w:szCs w:val="24"/>
          <w:rtl/>
        </w:rPr>
        <w:t>זה מב</w:t>
      </w:r>
      <w:r>
        <w:rPr>
          <w:rFonts w:hint="cs"/>
          <w:sz w:val="24"/>
          <w:szCs w:val="24"/>
          <w:rtl/>
        </w:rPr>
        <w:t>ו</w:t>
      </w:r>
      <w:r>
        <w:rPr>
          <w:sz w:val="24"/>
          <w:szCs w:val="24"/>
          <w:rtl/>
        </w:rPr>
        <w:t xml:space="preserve">סס על מקורות </w:t>
      </w:r>
      <w:r>
        <w:rPr>
          <w:rFonts w:hint="cs"/>
          <w:sz w:val="24"/>
          <w:szCs w:val="24"/>
          <w:rtl/>
        </w:rPr>
        <w:t>ש</w:t>
      </w:r>
      <w:r>
        <w:rPr>
          <w:sz w:val="24"/>
          <w:szCs w:val="24"/>
          <w:rtl/>
        </w:rPr>
        <w:t>נאספו ונ</w:t>
      </w:r>
      <w:r w:rsidRPr="000A1CD6">
        <w:rPr>
          <w:sz w:val="24"/>
          <w:szCs w:val="24"/>
          <w:rtl/>
        </w:rPr>
        <w:t xml:space="preserve">למדו במסגרת קבוצת הלימוד הירושלמית של </w:t>
      </w:r>
      <w:r w:rsidR="004B6066">
        <w:rPr>
          <w:rFonts w:hint="cs"/>
          <w:sz w:val="24"/>
          <w:szCs w:val="24"/>
          <w:rtl/>
        </w:rPr>
        <w:t>'</w:t>
      </w:r>
      <w:r w:rsidRPr="000A1CD6">
        <w:rPr>
          <w:sz w:val="24"/>
          <w:szCs w:val="24"/>
          <w:rtl/>
        </w:rPr>
        <w:t>בת קול</w:t>
      </w:r>
      <w:r w:rsidR="004B6066">
        <w:rPr>
          <w:rFonts w:hint="cs"/>
          <w:sz w:val="24"/>
          <w:szCs w:val="24"/>
          <w:rtl/>
        </w:rPr>
        <w:t>',</w:t>
      </w:r>
      <w:r w:rsidRPr="000A1CD6">
        <w:rPr>
          <w:sz w:val="24"/>
          <w:szCs w:val="24"/>
          <w:rtl/>
        </w:rPr>
        <w:t xml:space="preserve"> והוא מהווה הצעה אחת מיני רבות להדגשה והגשה של הנושא. אתם מוזמנים</w:t>
      </w:r>
      <w:r>
        <w:rPr>
          <w:rFonts w:hint="cs"/>
          <w:sz w:val="24"/>
          <w:szCs w:val="24"/>
          <w:rtl/>
        </w:rPr>
        <w:t xml:space="preserve"> </w:t>
      </w:r>
      <w:r w:rsidRPr="000A1CD6">
        <w:rPr>
          <w:sz w:val="24"/>
          <w:szCs w:val="24"/>
          <w:rtl/>
        </w:rPr>
        <w:t>ליצור מתוכו את השיעור שלכם על ידי שכפול הדף והתאמתו לצרכים שלכם</w:t>
      </w:r>
      <w:r w:rsidRPr="000A1CD6">
        <w:rPr>
          <w:sz w:val="24"/>
          <w:szCs w:val="24"/>
        </w:rPr>
        <w:t>.</w:t>
      </w:r>
    </w:p>
    <w:p w:rsidR="00A71AA3" w:rsidRPr="00BF7A64" w:rsidRDefault="00A71AA3" w:rsidP="00A71AA3">
      <w:pPr>
        <w:rPr>
          <w:b/>
          <w:bCs/>
          <w:sz w:val="24"/>
          <w:szCs w:val="24"/>
          <w:rtl/>
        </w:rPr>
      </w:pPr>
      <w:r w:rsidRPr="00BF7A64">
        <w:rPr>
          <w:rFonts w:hint="cs"/>
          <w:b/>
          <w:bCs/>
          <w:sz w:val="24"/>
          <w:szCs w:val="24"/>
          <w:rtl/>
        </w:rPr>
        <w:t xml:space="preserve">למנחה: </w:t>
      </w:r>
    </w:p>
    <w:p w:rsidR="00A71AA3" w:rsidRDefault="00A71AA3" w:rsidP="00A71AA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דף זה עוסק בהיבטים השונים של פסח שני כפי שהם משתקפים מן המקורות. העיסוק בנושא זה מאפשר לבחון מענים שונים לאחרים בתוך הקהילה.</w:t>
      </w:r>
    </w:p>
    <w:p w:rsidR="00A71AA3" w:rsidRDefault="00A71AA3" w:rsidP="00A71AA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אנו ממליצים לפתוח בלימוד משותף של הפסוקים מ</w:t>
      </w:r>
      <w:r w:rsidRPr="00087723">
        <w:rPr>
          <w:rFonts w:hint="cs"/>
          <w:b/>
          <w:bCs/>
          <w:sz w:val="24"/>
          <w:szCs w:val="24"/>
          <w:rtl/>
        </w:rPr>
        <w:t xml:space="preserve">ספר שמות </w:t>
      </w:r>
      <w:r>
        <w:rPr>
          <w:rFonts w:hint="cs"/>
          <w:sz w:val="24"/>
          <w:szCs w:val="24"/>
          <w:rtl/>
        </w:rPr>
        <w:t xml:space="preserve">שמהווים את המקור ל'פסח שני' (ניתן לבחור להוריד את השאלות המנחות מהדפים שיחולקו למשתתפים). </w:t>
      </w:r>
    </w:p>
    <w:p w:rsidR="00A71AA3" w:rsidRDefault="00087723" w:rsidP="004B606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נפצל את קריאת הפסוקים לשתיים, תחילה יש נקר</w:t>
      </w:r>
      <w:r w:rsidR="00A71AA3">
        <w:rPr>
          <w:rFonts w:hint="cs"/>
          <w:sz w:val="24"/>
          <w:szCs w:val="24"/>
          <w:rtl/>
        </w:rPr>
        <w:t xml:space="preserve">א עד לפסוק ז'. בקשתם של טמאי המת למשה מזמינה אותנו לשאול את עצמנו על הדרך בה אנו מגיבים לבקשות 'למה </w:t>
      </w:r>
      <w:proofErr w:type="spellStart"/>
      <w:r w:rsidR="00A71AA3">
        <w:rPr>
          <w:rFonts w:hint="cs"/>
          <w:sz w:val="24"/>
          <w:szCs w:val="24"/>
          <w:rtl/>
        </w:rPr>
        <w:t>ניגרע</w:t>
      </w:r>
      <w:proofErr w:type="spellEnd"/>
      <w:r w:rsidR="00A71AA3">
        <w:rPr>
          <w:rFonts w:hint="cs"/>
          <w:sz w:val="24"/>
          <w:szCs w:val="24"/>
          <w:rtl/>
        </w:rPr>
        <w:t>' של אחרים שונים בחברה. מה מעוררת בנו השאלה הזאת, האם יצא לנו לשאול אותה בעצמנו</w:t>
      </w:r>
      <w:r w:rsidR="004B6066">
        <w:rPr>
          <w:rFonts w:hint="cs"/>
          <w:sz w:val="24"/>
          <w:szCs w:val="24"/>
          <w:rtl/>
        </w:rPr>
        <w:t>?</w:t>
      </w:r>
      <w:r w:rsidR="00A71AA3">
        <w:rPr>
          <w:rFonts w:hint="cs"/>
          <w:sz w:val="24"/>
          <w:szCs w:val="24"/>
          <w:rtl/>
        </w:rPr>
        <w:t xml:space="preserve"> האם נענו לבקשתנו?</w:t>
      </w:r>
    </w:p>
    <w:p w:rsidR="00A71AA3" w:rsidRDefault="00A71AA3" w:rsidP="0008772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נמשיך בקריאת הפסוקים, ובהצעת הפתרון של הקב"ה. </w:t>
      </w:r>
      <w:r w:rsidR="00087723">
        <w:rPr>
          <w:rFonts w:hint="cs"/>
          <w:sz w:val="24"/>
          <w:szCs w:val="24"/>
          <w:rtl/>
        </w:rPr>
        <w:t xml:space="preserve">ניתן לשוחח </w:t>
      </w:r>
      <w:r>
        <w:rPr>
          <w:rFonts w:hint="cs"/>
          <w:sz w:val="24"/>
          <w:szCs w:val="24"/>
          <w:rtl/>
        </w:rPr>
        <w:t xml:space="preserve">על </w:t>
      </w:r>
      <w:r w:rsidR="00087723">
        <w:rPr>
          <w:rFonts w:hint="cs"/>
          <w:sz w:val="24"/>
          <w:szCs w:val="24"/>
          <w:rtl/>
        </w:rPr>
        <w:t>האפשרות לה</w:t>
      </w:r>
      <w:r>
        <w:rPr>
          <w:rFonts w:hint="cs"/>
          <w:sz w:val="24"/>
          <w:szCs w:val="24"/>
          <w:rtl/>
        </w:rPr>
        <w:t xml:space="preserve">זדמנות שניה, על הכלה של אחר ומציאת פתרון שיאפשר לו להיות חלק מהחברה. </w:t>
      </w:r>
    </w:p>
    <w:p w:rsidR="00A71AA3" w:rsidRDefault="00A71AA3" w:rsidP="00A71AA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באילו מצבים אנחנו קיבלנו הזדמנות שניה, ובאילו הענקנו אותה? </w:t>
      </w:r>
    </w:p>
    <w:p w:rsidR="00A71AA3" w:rsidRDefault="00A71AA3" w:rsidP="004B606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הביטוי </w:t>
      </w:r>
      <w:r w:rsidR="004B6066">
        <w:rPr>
          <w:rFonts w:hint="cs"/>
          <w:sz w:val="24"/>
          <w:szCs w:val="24"/>
          <w:rtl/>
        </w:rPr>
        <w:t>'</w:t>
      </w:r>
      <w:r>
        <w:rPr>
          <w:rFonts w:hint="cs"/>
          <w:sz w:val="24"/>
          <w:szCs w:val="24"/>
          <w:rtl/>
        </w:rPr>
        <w:t>למה נגרע</w:t>
      </w:r>
      <w:r w:rsidR="004B6066">
        <w:rPr>
          <w:rFonts w:hint="cs"/>
          <w:sz w:val="24"/>
          <w:szCs w:val="24"/>
          <w:rtl/>
        </w:rPr>
        <w:t>'</w:t>
      </w:r>
      <w:r>
        <w:rPr>
          <w:rFonts w:hint="cs"/>
          <w:sz w:val="24"/>
          <w:szCs w:val="24"/>
          <w:rtl/>
        </w:rPr>
        <w:t xml:space="preserve"> מופיע עוד פעם אחת בתורה, בסיפורן של בנות </w:t>
      </w:r>
      <w:proofErr w:type="spellStart"/>
      <w:r>
        <w:rPr>
          <w:rFonts w:hint="cs"/>
          <w:sz w:val="24"/>
          <w:szCs w:val="24"/>
          <w:rtl/>
        </w:rPr>
        <w:t>צלפחד</w:t>
      </w:r>
      <w:proofErr w:type="spellEnd"/>
      <w:r>
        <w:rPr>
          <w:rFonts w:hint="cs"/>
          <w:sz w:val="24"/>
          <w:szCs w:val="24"/>
          <w:rtl/>
        </w:rPr>
        <w:t xml:space="preserve">. אלו שני סיפורים בהן הזעקה להיות חלק נענית בחיוב. בשתי הפעמים העונה הוא הקב"ה. האם יש לכך משמעות? האם משה בעצמו יכול היה להעניק דין זה? </w:t>
      </w:r>
    </w:p>
    <w:p w:rsidR="00A71AA3" w:rsidRDefault="00A71AA3" w:rsidP="00A71AA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כיום, כאשר לא קיים שיח ישיר עם הקב"ה, כיצד עלינו להגיב לזעקות 'למה </w:t>
      </w:r>
      <w:proofErr w:type="spellStart"/>
      <w:r>
        <w:rPr>
          <w:rFonts w:hint="cs"/>
          <w:sz w:val="24"/>
          <w:szCs w:val="24"/>
          <w:rtl/>
        </w:rPr>
        <w:t>ניגרע</w:t>
      </w:r>
      <w:proofErr w:type="spellEnd"/>
      <w:r>
        <w:rPr>
          <w:rFonts w:hint="cs"/>
          <w:sz w:val="24"/>
          <w:szCs w:val="24"/>
          <w:rtl/>
        </w:rPr>
        <w:t>' של אחרים בחברה שלנו?</w:t>
      </w:r>
    </w:p>
    <w:p w:rsidR="00A71AA3" w:rsidRDefault="00BF7A64" w:rsidP="0008772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לאחר קריאת הפסוקים, </w:t>
      </w:r>
      <w:r w:rsidR="00087723">
        <w:rPr>
          <w:rFonts w:hint="cs"/>
          <w:sz w:val="24"/>
          <w:szCs w:val="24"/>
          <w:rtl/>
        </w:rPr>
        <w:t>נת</w:t>
      </w:r>
      <w:r>
        <w:rPr>
          <w:rFonts w:hint="cs"/>
          <w:sz w:val="24"/>
          <w:szCs w:val="24"/>
          <w:rtl/>
        </w:rPr>
        <w:t xml:space="preserve">חלק </w:t>
      </w:r>
      <w:proofErr w:type="spellStart"/>
      <w:r>
        <w:rPr>
          <w:rFonts w:hint="cs"/>
          <w:sz w:val="24"/>
          <w:szCs w:val="24"/>
          <w:rtl/>
        </w:rPr>
        <w:t>לחברותות</w:t>
      </w:r>
      <w:proofErr w:type="spellEnd"/>
      <w:r>
        <w:rPr>
          <w:rFonts w:hint="cs"/>
          <w:sz w:val="24"/>
          <w:szCs w:val="24"/>
          <w:rtl/>
        </w:rPr>
        <w:t xml:space="preserve"> להמשך הלימוד. (מומלץ להתחלק לקבוצות של 2-3 בלבד כדי לאפשר שיח פורה ואינטימי) </w:t>
      </w:r>
    </w:p>
    <w:p w:rsidR="00BF7A64" w:rsidRDefault="00BF7A64" w:rsidP="00A71AA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[במידה והזמן דוחק, רצוי לבחור מראש 2-3 קטעים בהם יתרכז הלימוד </w:t>
      </w:r>
      <w:proofErr w:type="spellStart"/>
      <w:r>
        <w:rPr>
          <w:rFonts w:hint="cs"/>
          <w:sz w:val="24"/>
          <w:szCs w:val="24"/>
          <w:rtl/>
        </w:rPr>
        <w:t>בחברותות</w:t>
      </w:r>
      <w:proofErr w:type="spellEnd"/>
      <w:r>
        <w:rPr>
          <w:rFonts w:hint="cs"/>
          <w:sz w:val="24"/>
          <w:szCs w:val="24"/>
          <w:rtl/>
        </w:rPr>
        <w:t>]</w:t>
      </w:r>
    </w:p>
    <w:p w:rsidR="00BF7A64" w:rsidRDefault="004B6066" w:rsidP="00A71AA3">
      <w:pPr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במה נשתנה פסח שני:</w:t>
      </w:r>
      <w:r w:rsidR="00BF7A64">
        <w:rPr>
          <w:rFonts w:hint="cs"/>
          <w:sz w:val="24"/>
          <w:szCs w:val="24"/>
          <w:rtl/>
        </w:rPr>
        <w:t xml:space="preserve"> מקור זה מאפשר שיח על הדרך בה מעוצבים החגים. ההשוואה בין שני סוגי הפסח, היא הצצה אל החלקים המהותיים ש</w:t>
      </w:r>
      <w:r w:rsidR="00087723">
        <w:rPr>
          <w:rFonts w:hint="cs"/>
          <w:sz w:val="24"/>
          <w:szCs w:val="24"/>
          <w:rtl/>
        </w:rPr>
        <w:t>מזהים חז"ל בחג. האם קביעתם עודנה</w:t>
      </w:r>
      <w:r w:rsidR="00BF7A64">
        <w:rPr>
          <w:rFonts w:hint="cs"/>
          <w:sz w:val="24"/>
          <w:szCs w:val="24"/>
          <w:rtl/>
        </w:rPr>
        <w:t xml:space="preserve"> רלוונטית לדרך בה אנו מציינים את החג? </w:t>
      </w:r>
    </w:p>
    <w:p w:rsidR="00BF7A64" w:rsidRDefault="00BF7A64" w:rsidP="00A71AA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חז"ל מעצבים את שני סוגי הפסח באופן שונה</w:t>
      </w:r>
      <w:r w:rsidR="004B6066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- מדוע חשוב להם ליצור הפרדה זאת? מה ערכה?</w:t>
      </w:r>
    </w:p>
    <w:p w:rsidR="00BF7A64" w:rsidRPr="00BF7A64" w:rsidRDefault="00BF7A64" w:rsidP="004B6066">
      <w:pPr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חמץ ומצה: </w:t>
      </w:r>
      <w:r w:rsidR="004B6066">
        <w:rPr>
          <w:rFonts w:hint="cs"/>
          <w:sz w:val="24"/>
          <w:szCs w:val="24"/>
          <w:rtl/>
        </w:rPr>
        <w:t xml:space="preserve">הרבי </w:t>
      </w:r>
      <w:proofErr w:type="spellStart"/>
      <w:r w:rsidR="004B6066">
        <w:rPr>
          <w:rFonts w:hint="cs"/>
          <w:sz w:val="24"/>
          <w:szCs w:val="24"/>
          <w:rtl/>
        </w:rPr>
        <w:t>מ</w:t>
      </w:r>
      <w:r>
        <w:rPr>
          <w:rFonts w:hint="cs"/>
          <w:sz w:val="24"/>
          <w:szCs w:val="24"/>
          <w:rtl/>
        </w:rPr>
        <w:t>לובאוויטש</w:t>
      </w:r>
      <w:proofErr w:type="spellEnd"/>
      <w:r>
        <w:rPr>
          <w:rFonts w:hint="cs"/>
          <w:sz w:val="24"/>
          <w:szCs w:val="24"/>
          <w:rtl/>
        </w:rPr>
        <w:t xml:space="preserve"> מזהה בשונות של פסח שני תוכן ערכי. </w:t>
      </w:r>
      <w:r w:rsidRPr="00BF7A64">
        <w:rPr>
          <w:sz w:val="24"/>
          <w:szCs w:val="24"/>
          <w:rtl/>
        </w:rPr>
        <w:t>בעולם הפוסטמודרני טוענים למושגי טוב ורע יחסיים, על מנת לאפשר ריבוי של קולות ועמדות המקבלים מקום שווה בחברה</w:t>
      </w:r>
      <w:r w:rsidR="004B6066">
        <w:rPr>
          <w:sz w:val="24"/>
          <w:szCs w:val="24"/>
          <w:rtl/>
        </w:rPr>
        <w:t xml:space="preserve">. הרבי </w:t>
      </w:r>
      <w:proofErr w:type="spellStart"/>
      <w:r w:rsidR="004B6066">
        <w:rPr>
          <w:sz w:val="24"/>
          <w:szCs w:val="24"/>
          <w:rtl/>
        </w:rPr>
        <w:t>מלוב</w:t>
      </w:r>
      <w:r w:rsidR="004B6066">
        <w:rPr>
          <w:rFonts w:hint="cs"/>
          <w:sz w:val="24"/>
          <w:szCs w:val="24"/>
          <w:rtl/>
        </w:rPr>
        <w:t>אוו</w:t>
      </w:r>
      <w:r w:rsidRPr="00BF7A64">
        <w:rPr>
          <w:sz w:val="24"/>
          <w:szCs w:val="24"/>
          <w:rtl/>
        </w:rPr>
        <w:t>י</w:t>
      </w:r>
      <w:r w:rsidR="004B6066">
        <w:rPr>
          <w:rFonts w:hint="cs"/>
          <w:sz w:val="24"/>
          <w:szCs w:val="24"/>
          <w:rtl/>
        </w:rPr>
        <w:t>טש</w:t>
      </w:r>
      <w:proofErr w:type="spellEnd"/>
      <w:r w:rsidRPr="00BF7A64">
        <w:rPr>
          <w:sz w:val="24"/>
          <w:szCs w:val="24"/>
          <w:rtl/>
        </w:rPr>
        <w:t xml:space="preserve"> מציג עמדה </w:t>
      </w:r>
      <w:r w:rsidRPr="00BF7A64">
        <w:rPr>
          <w:rFonts w:hint="cs"/>
          <w:sz w:val="24"/>
          <w:szCs w:val="24"/>
          <w:rtl/>
        </w:rPr>
        <w:t xml:space="preserve">אחרת </w:t>
      </w:r>
      <w:r w:rsidRPr="00BF7A64">
        <w:rPr>
          <w:sz w:val="24"/>
          <w:szCs w:val="24"/>
          <w:rtl/>
        </w:rPr>
        <w:t xml:space="preserve">המאפשרת את השונות </w:t>
      </w:r>
      <w:r w:rsidRPr="00F95587">
        <w:rPr>
          <w:b/>
          <w:bCs/>
          <w:sz w:val="24"/>
          <w:szCs w:val="24"/>
          <w:rtl/>
        </w:rPr>
        <w:t>בתוך הקהילה</w:t>
      </w:r>
      <w:r w:rsidRPr="00BF7A64">
        <w:rPr>
          <w:sz w:val="24"/>
          <w:szCs w:val="24"/>
          <w:rtl/>
        </w:rPr>
        <w:t xml:space="preserve">, את האפשרות לדין שונה עבור מי שמצבו או צרכיו שונים, </w:t>
      </w:r>
      <w:r w:rsidRPr="00BF7A64">
        <w:rPr>
          <w:rFonts w:hint="cs"/>
          <w:sz w:val="24"/>
          <w:szCs w:val="24"/>
          <w:rtl/>
        </w:rPr>
        <w:t>בדומה</w:t>
      </w:r>
      <w:r w:rsidRPr="00BF7A64">
        <w:rPr>
          <w:sz w:val="24"/>
          <w:szCs w:val="24"/>
          <w:rtl/>
        </w:rPr>
        <w:t xml:space="preserve"> </w:t>
      </w:r>
      <w:r w:rsidRPr="00BF7A64">
        <w:rPr>
          <w:rFonts w:hint="cs"/>
          <w:sz w:val="24"/>
          <w:szCs w:val="24"/>
          <w:rtl/>
        </w:rPr>
        <w:t xml:space="preserve">לאפשרות </w:t>
      </w:r>
      <w:r w:rsidRPr="00BF7A64">
        <w:rPr>
          <w:sz w:val="24"/>
          <w:szCs w:val="24"/>
          <w:rtl/>
        </w:rPr>
        <w:t>ש</w:t>
      </w:r>
      <w:r w:rsidRPr="00BF7A64">
        <w:rPr>
          <w:rFonts w:hint="cs"/>
          <w:sz w:val="24"/>
          <w:szCs w:val="24"/>
          <w:rtl/>
        </w:rPr>
        <w:t>מייצר</w:t>
      </w:r>
      <w:r w:rsidRPr="00BF7A64"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דין פסח שני. יחד עם זאת</w:t>
      </w:r>
      <w:r>
        <w:rPr>
          <w:rFonts w:hint="cs"/>
          <w:sz w:val="24"/>
          <w:szCs w:val="24"/>
          <w:rtl/>
        </w:rPr>
        <w:t xml:space="preserve"> וב</w:t>
      </w:r>
      <w:r w:rsidRPr="00BF7A64">
        <w:rPr>
          <w:sz w:val="24"/>
          <w:szCs w:val="24"/>
          <w:rtl/>
        </w:rPr>
        <w:t>מקביל, </w:t>
      </w:r>
      <w:r w:rsidRPr="00BF7A64">
        <w:rPr>
          <w:rFonts w:hint="cs"/>
          <w:sz w:val="24"/>
          <w:szCs w:val="24"/>
          <w:rtl/>
        </w:rPr>
        <w:t xml:space="preserve">הרבי </w:t>
      </w:r>
      <w:proofErr w:type="spellStart"/>
      <w:r w:rsidRPr="00BF7A64">
        <w:rPr>
          <w:rFonts w:hint="cs"/>
          <w:sz w:val="24"/>
          <w:szCs w:val="24"/>
          <w:rtl/>
        </w:rPr>
        <w:t>מלובאוויטש</w:t>
      </w:r>
      <w:proofErr w:type="spellEnd"/>
      <w:r w:rsidRPr="00BF7A64">
        <w:rPr>
          <w:rFonts w:hint="cs"/>
          <w:sz w:val="24"/>
          <w:szCs w:val="24"/>
          <w:rtl/>
        </w:rPr>
        <w:t xml:space="preserve"> </w:t>
      </w:r>
      <w:r w:rsidRPr="00BF7A64">
        <w:rPr>
          <w:sz w:val="24"/>
          <w:szCs w:val="24"/>
          <w:rtl/>
        </w:rPr>
        <w:t>משמר א</w:t>
      </w:r>
      <w:r w:rsidR="00087723">
        <w:rPr>
          <w:sz w:val="24"/>
          <w:szCs w:val="24"/>
          <w:rtl/>
        </w:rPr>
        <w:t xml:space="preserve">ת מושגי הטוב והרע המוחלטים. </w:t>
      </w:r>
      <w:r w:rsidR="00087723">
        <w:rPr>
          <w:rFonts w:hint="cs"/>
          <w:sz w:val="24"/>
          <w:szCs w:val="24"/>
          <w:rtl/>
        </w:rPr>
        <w:t>מהי</w:t>
      </w:r>
      <w:r w:rsidRPr="00BF7A64">
        <w:rPr>
          <w:sz w:val="24"/>
          <w:szCs w:val="24"/>
          <w:rtl/>
        </w:rPr>
        <w:t xml:space="preserve"> </w:t>
      </w:r>
      <w:r w:rsidR="00087723">
        <w:rPr>
          <w:rFonts w:hint="cs"/>
          <w:sz w:val="24"/>
          <w:szCs w:val="24"/>
          <w:rtl/>
        </w:rPr>
        <w:t>ה</w:t>
      </w:r>
      <w:r w:rsidRPr="00BF7A64">
        <w:rPr>
          <w:sz w:val="24"/>
          <w:szCs w:val="24"/>
          <w:rtl/>
        </w:rPr>
        <w:t xml:space="preserve">גישה </w:t>
      </w:r>
      <w:r w:rsidR="00087723">
        <w:rPr>
          <w:rFonts w:hint="cs"/>
          <w:sz w:val="24"/>
          <w:szCs w:val="24"/>
          <w:rtl/>
        </w:rPr>
        <w:t>ה</w:t>
      </w:r>
      <w:r w:rsidRPr="00BF7A64">
        <w:rPr>
          <w:sz w:val="24"/>
          <w:szCs w:val="24"/>
          <w:rtl/>
        </w:rPr>
        <w:t>עדיפה</w:t>
      </w:r>
      <w:r w:rsidRPr="00BF7A64">
        <w:rPr>
          <w:rFonts w:hint="cs"/>
          <w:sz w:val="24"/>
          <w:szCs w:val="24"/>
          <w:rtl/>
        </w:rPr>
        <w:t xml:space="preserve"> בעיניכם?</w:t>
      </w:r>
    </w:p>
    <w:p w:rsidR="00BF7A64" w:rsidRDefault="00BF7A64" w:rsidP="00A71AA3">
      <w:pPr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בזכות התיקון:</w:t>
      </w:r>
      <w:r>
        <w:rPr>
          <w:rFonts w:hint="cs"/>
          <w:sz w:val="24"/>
          <w:szCs w:val="24"/>
          <w:rtl/>
        </w:rPr>
        <w:t xml:space="preserve"> עצם הקריאה של טמאי המת להכרה במצוקה היא שהובילה לתיקון על פי רבי נחמן. באילו מקומות קריאתנו מעלה למודעות מצוקות של אחרים. האם יש בכך גם מן התיקון? </w:t>
      </w:r>
    </w:p>
    <w:p w:rsidR="00BF7A64" w:rsidRDefault="00BF7A64" w:rsidP="00A71AA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מה יש בהכרה במצוקה שמביאה לתיקון? האם חוויתם פעם תיקון בזכות הכרה של אחר במצוקתכם?</w:t>
      </w:r>
    </w:p>
    <w:p w:rsidR="00BF7A64" w:rsidRDefault="00BF7A64" w:rsidP="00A71AA3">
      <w:pPr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בהעלותך</w:t>
      </w:r>
      <w:r w:rsidR="004B6066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- מצוות פסח שני: </w:t>
      </w:r>
      <w:r>
        <w:rPr>
          <w:rFonts w:hint="cs"/>
          <w:sz w:val="24"/>
          <w:szCs w:val="24"/>
          <w:rtl/>
        </w:rPr>
        <w:t>על פי הרב שרקי השותפות בפסח פירושה השתייכות לעם ישראל. מי שלא ח</w:t>
      </w:r>
      <w:r w:rsidR="006517EE">
        <w:rPr>
          <w:rFonts w:hint="cs"/>
          <w:sz w:val="24"/>
          <w:szCs w:val="24"/>
          <w:rtl/>
        </w:rPr>
        <w:t xml:space="preserve">וגג את פסח איננו חלק מהעם, ובשל כך </w:t>
      </w:r>
      <w:r>
        <w:rPr>
          <w:rFonts w:hint="cs"/>
          <w:sz w:val="24"/>
          <w:szCs w:val="24"/>
          <w:rtl/>
        </w:rPr>
        <w:t xml:space="preserve">ניתנה האפשרות לחגוג את פסח שני. </w:t>
      </w:r>
      <w:r w:rsidR="006517EE">
        <w:rPr>
          <w:rFonts w:hint="cs"/>
          <w:sz w:val="24"/>
          <w:szCs w:val="24"/>
          <w:rtl/>
        </w:rPr>
        <w:t xml:space="preserve">כלומר, </w:t>
      </w:r>
      <w:r w:rsidR="006517EE">
        <w:rPr>
          <w:rFonts w:hint="cs"/>
          <w:sz w:val="24"/>
          <w:szCs w:val="24"/>
          <w:rtl/>
        </w:rPr>
        <w:lastRenderedPageBreak/>
        <w:t>השותפות בחג, היא שותפות בעם. אילו מעשים חברתיים משייכים אותנו לקהילה מסויימת? אילו מעשים מוציאים אותנו מתוכה?</w:t>
      </w:r>
    </w:p>
    <w:p w:rsidR="006517EE" w:rsidRDefault="006517EE" w:rsidP="00A71AA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האם ישנו מעשה אחד שיכול להוות סמן השתייכותי לקהילה הדתית? לישראליות? לעולם המערבי?</w:t>
      </w:r>
    </w:p>
    <w:p w:rsidR="006517EE" w:rsidRDefault="006517EE" w:rsidP="004B6066">
      <w:pPr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חודש אייר</w:t>
      </w:r>
      <w:r w:rsidR="004B6066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- אור חוזר של חודש ניסן: </w:t>
      </w:r>
      <w:r>
        <w:rPr>
          <w:rFonts w:hint="cs"/>
          <w:sz w:val="24"/>
          <w:szCs w:val="24"/>
          <w:rtl/>
        </w:rPr>
        <w:t xml:space="preserve">הרב לבנון והרב שרקי מזהים בחודש אייר את </w:t>
      </w:r>
      <w:r w:rsidR="004B6066">
        <w:rPr>
          <w:rFonts w:hint="cs"/>
          <w:sz w:val="24"/>
          <w:szCs w:val="24"/>
          <w:rtl/>
        </w:rPr>
        <w:t>'</w:t>
      </w:r>
      <w:proofErr w:type="spellStart"/>
      <w:r w:rsidR="004B6066">
        <w:rPr>
          <w:rFonts w:hint="cs"/>
          <w:sz w:val="24"/>
          <w:szCs w:val="24"/>
          <w:rtl/>
        </w:rPr>
        <w:t>א</w:t>
      </w:r>
      <w:r>
        <w:rPr>
          <w:rFonts w:hint="cs"/>
          <w:sz w:val="24"/>
          <w:szCs w:val="24"/>
          <w:rtl/>
        </w:rPr>
        <w:t>תערותא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דלתתא</w:t>
      </w:r>
      <w:proofErr w:type="spellEnd"/>
      <w:r w:rsidR="004B6066">
        <w:rPr>
          <w:rFonts w:hint="cs"/>
          <w:sz w:val="24"/>
          <w:szCs w:val="24"/>
          <w:rtl/>
        </w:rPr>
        <w:t>'</w:t>
      </w:r>
      <w:r>
        <w:rPr>
          <w:rFonts w:hint="cs"/>
          <w:sz w:val="24"/>
          <w:szCs w:val="24"/>
          <w:rtl/>
        </w:rPr>
        <w:t xml:space="preserve">. </w:t>
      </w:r>
      <w:bookmarkStart w:id="0" w:name="_GoBack"/>
      <w:bookmarkEnd w:id="0"/>
      <w:r>
        <w:rPr>
          <w:rFonts w:hint="cs"/>
          <w:sz w:val="24"/>
          <w:szCs w:val="24"/>
          <w:rtl/>
        </w:rPr>
        <w:t>אילו גאולות הייתם חפצים להביא החודש לעולם? איזה תיקונים אתם מזהים שיש לתקן בחברה שלנו? אילו מעשים נדרשים כדי לתקן אותם?</w:t>
      </w:r>
    </w:p>
    <w:p w:rsidR="00FB77FD" w:rsidRDefault="00FB77FD" w:rsidP="006517EE">
      <w:pPr>
        <w:rPr>
          <w:sz w:val="24"/>
          <w:szCs w:val="24"/>
          <w:rtl/>
        </w:rPr>
      </w:pPr>
    </w:p>
    <w:p w:rsidR="00FB77FD" w:rsidRDefault="00FB77FD" w:rsidP="006517E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חזרה למליאה, סיכום הדברים שעלו מתוך </w:t>
      </w:r>
      <w:proofErr w:type="spellStart"/>
      <w:r>
        <w:rPr>
          <w:rFonts w:hint="cs"/>
          <w:sz w:val="24"/>
          <w:szCs w:val="24"/>
          <w:rtl/>
        </w:rPr>
        <w:t>החברותות</w:t>
      </w:r>
      <w:proofErr w:type="spellEnd"/>
      <w:r>
        <w:rPr>
          <w:rFonts w:hint="cs"/>
          <w:sz w:val="24"/>
          <w:szCs w:val="24"/>
          <w:rtl/>
        </w:rPr>
        <w:t xml:space="preserve">. </w:t>
      </w:r>
    </w:p>
    <w:p w:rsidR="006517EE" w:rsidRPr="00BF7A64" w:rsidRDefault="006517EE" w:rsidP="006517EE">
      <w:pPr>
        <w:rPr>
          <w:sz w:val="24"/>
          <w:szCs w:val="24"/>
          <w:rtl/>
        </w:rPr>
      </w:pPr>
    </w:p>
    <w:p w:rsidR="00BA4200" w:rsidRDefault="00BA4200"/>
    <w:sectPr w:rsidR="00BA4200" w:rsidSect="00E833A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65726"/>
    <w:multiLevelType w:val="multilevel"/>
    <w:tmpl w:val="296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01E1EA2"/>
    <w:multiLevelType w:val="hybridMultilevel"/>
    <w:tmpl w:val="258CC01E"/>
    <w:lvl w:ilvl="0" w:tplc="E722914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10221"/>
    <w:multiLevelType w:val="hybridMultilevel"/>
    <w:tmpl w:val="A608F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A3"/>
    <w:rsid w:val="00087723"/>
    <w:rsid w:val="004B6066"/>
    <w:rsid w:val="006517EE"/>
    <w:rsid w:val="00A71AA3"/>
    <w:rsid w:val="00BA4200"/>
    <w:rsid w:val="00BF7A64"/>
    <w:rsid w:val="00E833AE"/>
    <w:rsid w:val="00F95587"/>
    <w:rsid w:val="00FB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avid" w:eastAsiaTheme="minorHAnsi" w:hAnsi="David" w:cs="David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A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1AA3"/>
  </w:style>
  <w:style w:type="character" w:styleId="Hyperlink">
    <w:name w:val="Hyperlink"/>
    <w:basedOn w:val="a0"/>
    <w:uiPriority w:val="99"/>
    <w:unhideWhenUsed/>
    <w:rsid w:val="00A71AA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71A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7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0877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avid" w:eastAsiaTheme="minorHAnsi" w:hAnsi="David" w:cs="David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A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1AA3"/>
  </w:style>
  <w:style w:type="character" w:styleId="Hyperlink">
    <w:name w:val="Hyperlink"/>
    <w:basedOn w:val="a0"/>
    <w:uiPriority w:val="99"/>
    <w:unhideWhenUsed/>
    <w:rsid w:val="00A71AA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71A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7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087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dcterms:created xsi:type="dcterms:W3CDTF">2017-03-16T20:17:00Z</dcterms:created>
  <dcterms:modified xsi:type="dcterms:W3CDTF">2017-05-01T08:13:00Z</dcterms:modified>
</cp:coreProperties>
</file>