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C1" w:rsidRDefault="009E5FC1" w:rsidP="00B25D92">
      <w:pPr>
        <w:bidi/>
        <w:spacing w:after="0"/>
        <w:ind w:firstLine="720"/>
        <w:jc w:val="center"/>
        <w:outlineLvl w:val="0"/>
        <w:rPr>
          <w:rFonts w:ascii="David" w:eastAsia="Times New Roman" w:hAnsi="David" w:cs="David"/>
          <w:b/>
          <w:bCs/>
          <w:color w:val="000000"/>
          <w:kern w:val="36"/>
          <w:sz w:val="24"/>
          <w:szCs w:val="24"/>
          <w:rtl/>
        </w:rPr>
      </w:pPr>
      <w:bookmarkStart w:id="0" w:name="_GoBack"/>
      <w:bookmarkEnd w:id="0"/>
      <w:r w:rsidRPr="00B25D92">
        <w:rPr>
          <w:rFonts w:ascii="David" w:eastAsia="Times New Roman" w:hAnsi="David" w:cs="David" w:hint="cs"/>
          <w:b/>
          <w:bCs/>
          <w:color w:val="000000"/>
          <w:kern w:val="36"/>
          <w:sz w:val="24"/>
          <w:szCs w:val="24"/>
          <w:rtl/>
        </w:rPr>
        <w:t xml:space="preserve">דברי הימים ב, </w:t>
      </w:r>
      <w:proofErr w:type="spellStart"/>
      <w:r w:rsidRPr="00B25D92">
        <w:rPr>
          <w:rFonts w:ascii="David" w:eastAsia="Times New Roman" w:hAnsi="David" w:cs="David" w:hint="cs"/>
          <w:b/>
          <w:bCs/>
          <w:color w:val="000000"/>
          <w:kern w:val="36"/>
          <w:sz w:val="24"/>
          <w:szCs w:val="24"/>
          <w:rtl/>
        </w:rPr>
        <w:t>יג-יז</w:t>
      </w:r>
      <w:proofErr w:type="spellEnd"/>
      <w:r w:rsidRPr="00B25D92">
        <w:rPr>
          <w:rFonts w:ascii="David" w:eastAsia="Times New Roman" w:hAnsi="David" w:cs="David" w:hint="cs"/>
          <w:b/>
          <w:bCs/>
          <w:color w:val="000000"/>
          <w:kern w:val="36"/>
          <w:sz w:val="24"/>
          <w:szCs w:val="24"/>
          <w:rtl/>
        </w:rPr>
        <w:t xml:space="preserve">: </w:t>
      </w:r>
      <w:r w:rsidRPr="00B25D92">
        <w:rPr>
          <w:rFonts w:ascii="David" w:eastAsia="Times New Roman" w:hAnsi="David" w:cs="David" w:hint="eastAsia"/>
          <w:b/>
          <w:bCs/>
          <w:color w:val="000000"/>
          <w:kern w:val="36"/>
          <w:sz w:val="24"/>
          <w:szCs w:val="24"/>
          <w:rtl/>
        </w:rPr>
        <w:t>המלכים</w:t>
      </w:r>
      <w:r w:rsidRPr="00B25D92">
        <w:rPr>
          <w:rFonts w:ascii="David" w:eastAsia="Times New Roman" w:hAnsi="David" w:cs="David"/>
          <w:b/>
          <w:bCs/>
          <w:color w:val="000000"/>
          <w:kern w:val="36"/>
          <w:sz w:val="24"/>
          <w:szCs w:val="24"/>
          <w:rtl/>
        </w:rPr>
        <w:t xml:space="preserve"> ה'טובים' של יהודה – אביה, אסא, </w:t>
      </w:r>
      <w:r w:rsidRPr="00B25D92">
        <w:rPr>
          <w:rFonts w:ascii="David" w:eastAsia="Times New Roman" w:hAnsi="David" w:cs="David" w:hint="eastAsia"/>
          <w:b/>
          <w:bCs/>
          <w:color w:val="000000"/>
          <w:kern w:val="36"/>
          <w:sz w:val="24"/>
          <w:szCs w:val="24"/>
          <w:rtl/>
        </w:rPr>
        <w:t>יהושפט</w:t>
      </w:r>
      <w:r w:rsidR="001423A6" w:rsidRPr="00B25D92">
        <w:rPr>
          <w:rFonts w:ascii="David" w:eastAsia="Times New Roman" w:hAnsi="David" w:cs="David"/>
          <w:b/>
          <w:bCs/>
          <w:color w:val="000000"/>
          <w:kern w:val="36"/>
          <w:sz w:val="24"/>
          <w:szCs w:val="24"/>
          <w:rtl/>
        </w:rPr>
        <w:t xml:space="preserve"> </w:t>
      </w:r>
    </w:p>
    <w:p w:rsidR="009E5FC1" w:rsidRDefault="009E5FC1" w:rsidP="009E5FC1">
      <w:pPr>
        <w:bidi/>
        <w:spacing w:after="0"/>
        <w:ind w:firstLine="720"/>
        <w:jc w:val="center"/>
        <w:outlineLvl w:val="0"/>
        <w:rPr>
          <w:rFonts w:ascii="David" w:eastAsia="Times New Roman" w:hAnsi="David" w:cs="David"/>
          <w:b/>
          <w:bCs/>
          <w:color w:val="000000"/>
          <w:kern w:val="36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color w:val="000000"/>
          <w:kern w:val="36"/>
          <w:sz w:val="24"/>
          <w:szCs w:val="24"/>
          <w:rtl/>
        </w:rPr>
        <w:t>דף למנחה</w:t>
      </w:r>
    </w:p>
    <w:p w:rsidR="009E5FC1" w:rsidRDefault="009E5FC1" w:rsidP="009E5FC1">
      <w:pPr>
        <w:bidi/>
        <w:spacing w:after="0"/>
        <w:ind w:firstLine="720"/>
        <w:outlineLvl w:val="0"/>
        <w:rPr>
          <w:rFonts w:ascii="David" w:eastAsia="Times New Roman" w:hAnsi="David" w:cs="David"/>
          <w:b/>
          <w:bCs/>
          <w:color w:val="000000"/>
          <w:kern w:val="36"/>
          <w:sz w:val="24"/>
          <w:szCs w:val="24"/>
          <w:rtl/>
        </w:rPr>
      </w:pPr>
    </w:p>
    <w:p w:rsidR="009E5FC1" w:rsidRDefault="009E5FC1" w:rsidP="00B25D92">
      <w:pPr>
        <w:bidi/>
        <w:spacing w:after="0" w:line="360" w:lineRule="auto"/>
        <w:ind w:left="-58"/>
        <w:outlineLvl w:val="0"/>
        <w:rPr>
          <w:rFonts w:ascii="David" w:eastAsia="Times New Roman" w:hAnsi="David" w:cs="David"/>
          <w:color w:val="000000"/>
          <w:kern w:val="36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דף הלימוד מתמקד בפרק </w:t>
      </w:r>
      <w:proofErr w:type="spellStart"/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יג</w:t>
      </w:r>
      <w:proofErr w:type="spellEnd"/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בדברי הימים ב - 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נאומו של אביה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, מלך יהודה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, ערב הקרב עם ירבעם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מלך ישראל.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הנאום 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הוא ביטוי מגובש של האידיאולוגיה של מלכות יהודה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, שלפיה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רק למלכי בית דוד יש לגיטימיות למלוך ומלכותם נשענת על עבודת האל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ו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הים 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הנעשית 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לפי כל כללי הפולחן. מבחינה זו, הנאום מהווה את הרציונל לכל הספר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,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שהרי ד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ברי הימים 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ב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'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הוא בעיקר ספר קורות מלכות יהודה. ישראל מתוארים שם באופן חלקי מאוד. </w:t>
      </w:r>
    </w:p>
    <w:p w:rsidR="009E5FC1" w:rsidRDefault="009E5FC1" w:rsidP="00B25D92">
      <w:pPr>
        <w:bidi/>
        <w:spacing w:after="0" w:line="360" w:lineRule="auto"/>
        <w:ind w:firstLine="226"/>
        <w:outlineLvl w:val="0"/>
        <w:rPr>
          <w:rFonts w:ascii="David" w:eastAsia="Times New Roman" w:hAnsi="David" w:cs="David"/>
          <w:color w:val="000000"/>
          <w:kern w:val="36"/>
          <w:sz w:val="24"/>
          <w:szCs w:val="24"/>
          <w:rtl/>
        </w:rPr>
      </w:pPr>
      <w:r w:rsidRPr="00B25D92">
        <w:rPr>
          <w:rFonts w:ascii="David" w:eastAsia="Times New Roman" w:hAnsi="David" w:cs="David" w:hint="eastAsia"/>
          <w:b/>
          <w:bCs/>
          <w:color w:val="000000"/>
          <w:kern w:val="36"/>
          <w:sz w:val="24"/>
          <w:szCs w:val="24"/>
          <w:rtl/>
        </w:rPr>
        <w:t>חלקו</w:t>
      </w:r>
      <w:r w:rsidRPr="00B25D92">
        <w:rPr>
          <w:rFonts w:ascii="David" w:eastAsia="Times New Roman" w:hAnsi="David" w:cs="David"/>
          <w:b/>
          <w:bCs/>
          <w:color w:val="000000"/>
          <w:kern w:val="36"/>
          <w:sz w:val="24"/>
          <w:szCs w:val="24"/>
          <w:rtl/>
        </w:rPr>
        <w:t xml:space="preserve"> </w:t>
      </w:r>
      <w:r w:rsidRPr="00B25D92">
        <w:rPr>
          <w:rFonts w:ascii="David" w:eastAsia="Times New Roman" w:hAnsi="David" w:cs="David" w:hint="eastAsia"/>
          <w:b/>
          <w:bCs/>
          <w:color w:val="000000"/>
          <w:kern w:val="36"/>
          <w:sz w:val="24"/>
          <w:szCs w:val="24"/>
          <w:rtl/>
        </w:rPr>
        <w:t>הראשון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של הלימוד מתמקד בנאום כחלק מסיפור היסטורי - זהו נאום שנשא ערב קרב וההתלהבות שיצר הייתה מן הסתם בין גורמי הניצחון. </w:t>
      </w:r>
    </w:p>
    <w:p w:rsidR="001423A6" w:rsidRDefault="009E5FC1" w:rsidP="00B25D92">
      <w:pPr>
        <w:bidi/>
        <w:spacing w:after="0" w:line="360" w:lineRule="auto"/>
        <w:ind w:firstLine="226"/>
        <w:outlineLvl w:val="0"/>
        <w:rPr>
          <w:rFonts w:ascii="David" w:eastAsia="Times New Roman" w:hAnsi="David" w:cs="David"/>
          <w:color w:val="000000"/>
          <w:kern w:val="36"/>
          <w:sz w:val="24"/>
          <w:szCs w:val="24"/>
          <w:rtl/>
        </w:rPr>
      </w:pPr>
      <w:r w:rsidRPr="00B25D92">
        <w:rPr>
          <w:rFonts w:ascii="David" w:eastAsia="Times New Roman" w:hAnsi="David" w:cs="David" w:hint="eastAsia"/>
          <w:b/>
          <w:bCs/>
          <w:color w:val="000000"/>
          <w:kern w:val="36"/>
          <w:sz w:val="24"/>
          <w:szCs w:val="24"/>
          <w:rtl/>
        </w:rPr>
        <w:t>בחלק</w:t>
      </w:r>
      <w:r w:rsidRPr="00B25D92">
        <w:rPr>
          <w:rFonts w:ascii="David" w:eastAsia="Times New Roman" w:hAnsi="David" w:cs="David"/>
          <w:b/>
          <w:bCs/>
          <w:color w:val="000000"/>
          <w:kern w:val="36"/>
          <w:sz w:val="24"/>
          <w:szCs w:val="24"/>
          <w:rtl/>
        </w:rPr>
        <w:t xml:space="preserve"> </w:t>
      </w:r>
      <w:r w:rsidRPr="00B25D92">
        <w:rPr>
          <w:rFonts w:ascii="David" w:eastAsia="Times New Roman" w:hAnsi="David" w:cs="David" w:hint="eastAsia"/>
          <w:b/>
          <w:bCs/>
          <w:color w:val="000000"/>
          <w:kern w:val="36"/>
          <w:sz w:val="24"/>
          <w:szCs w:val="24"/>
          <w:rtl/>
        </w:rPr>
        <w:t>השני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דיון הגותי, על-היסטורי, בתפיסת העולם של אביה הרואה את מוקד החיים הדתיים בעבודת המקדש. בעתות מלחמה מתבטאת תפיסה זו באמונה באל המתגלה מתוך ארון הברית. נסקור את המקורות לתפיסה זו: משה, יהושע וארון הברית;  ונעיין בטקסטים המאתגרים אותה: נפילת ארון הברית בשבי הפלישתים, הביקורת של הנביאים על ההתמקדות במקדש שתמיד באה על חשבון מצוות אחרות (בדרך כלל בתחום הצדק החברתי). </w:t>
      </w:r>
    </w:p>
    <w:p w:rsidR="009E5FC1" w:rsidRDefault="009E5FC1" w:rsidP="00B25D92">
      <w:pPr>
        <w:bidi/>
        <w:spacing w:after="0" w:line="360" w:lineRule="auto"/>
        <w:ind w:firstLine="226"/>
        <w:outlineLvl w:val="0"/>
        <w:rPr>
          <w:rFonts w:ascii="David" w:eastAsia="Times New Roman" w:hAnsi="David" w:cs="David"/>
          <w:color w:val="000000"/>
          <w:kern w:val="36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מול תפיסת העולם הז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את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מו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צג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ת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בעיקר 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תפיסת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'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לימוד התורה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במרכז' של הפרושים, שהחליפה את תפיסת 'המקדש במרכז' של הצדוקים 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בימי בית שני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.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כיוון שאין בידינו קטע צדוקי משכנע ומושך בהמשך לנאום אביה, מובא בדף קטע בדיוני, 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שחיבר 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משה שמיר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בספרו 'מלך בשר ודם'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. לאחר מכן נעיין בדברי הרב קוק ו</w:t>
      </w:r>
      <w:r w:rsidR="001423A6">
        <w:rPr>
          <w:rFonts w:ascii="David" w:hAnsi="David" w:cs="David" w:hint="cs"/>
          <w:sz w:val="24"/>
          <w:szCs w:val="24"/>
          <w:rtl/>
        </w:rPr>
        <w:t xml:space="preserve">החכם הסיני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צ'ואנג</w:t>
      </w:r>
      <w:proofErr w:type="spellEnd"/>
      <w:r>
        <w:rPr>
          <w:rFonts w:ascii="David" w:hAnsi="David" w:cs="David" w:hint="cs"/>
          <w:sz w:val="24"/>
          <w:szCs w:val="24"/>
          <w:rtl/>
        </w:rPr>
        <w:t>-טסה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, בן המאה השני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י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ה לפנ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י הספירה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, המבטאים את תפיסת 'מלוא כל הארץ כבודו', לפיה החיים הדתיים מתבטאים בכל עש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י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יה. </w:t>
      </w:r>
    </w:p>
    <w:p w:rsidR="009E5FC1" w:rsidRDefault="009E5FC1" w:rsidP="00B25D92">
      <w:pPr>
        <w:bidi/>
        <w:spacing w:after="0" w:line="360" w:lineRule="auto"/>
        <w:ind w:firstLine="226"/>
        <w:outlineLvl w:val="0"/>
        <w:rPr>
          <w:rFonts w:ascii="David" w:eastAsia="Times New Roman" w:hAnsi="David" w:cs="David"/>
          <w:color w:val="000000"/>
          <w:kern w:val="36"/>
          <w:sz w:val="24"/>
          <w:szCs w:val="24"/>
          <w:rtl/>
        </w:rPr>
      </w:pPr>
      <w:r w:rsidRPr="00B25D92">
        <w:rPr>
          <w:rFonts w:ascii="David" w:eastAsia="Times New Roman" w:hAnsi="David" w:cs="David" w:hint="eastAsia"/>
          <w:b/>
          <w:bCs/>
          <w:color w:val="000000"/>
          <w:kern w:val="36"/>
          <w:sz w:val="24"/>
          <w:szCs w:val="24"/>
          <w:rtl/>
        </w:rPr>
        <w:t>בחלק</w:t>
      </w:r>
      <w:r w:rsidRPr="00B25D92">
        <w:rPr>
          <w:rFonts w:ascii="David" w:eastAsia="Times New Roman" w:hAnsi="David" w:cs="David"/>
          <w:b/>
          <w:bCs/>
          <w:color w:val="000000"/>
          <w:kern w:val="36"/>
          <w:sz w:val="24"/>
          <w:szCs w:val="24"/>
          <w:rtl/>
        </w:rPr>
        <w:t xml:space="preserve"> </w:t>
      </w:r>
      <w:r w:rsidRPr="00B25D92">
        <w:rPr>
          <w:rFonts w:ascii="David" w:eastAsia="Times New Roman" w:hAnsi="David" w:cs="David" w:hint="eastAsia"/>
          <w:b/>
          <w:bCs/>
          <w:color w:val="000000"/>
          <w:kern w:val="36"/>
          <w:sz w:val="24"/>
          <w:szCs w:val="24"/>
          <w:rtl/>
        </w:rPr>
        <w:t>השלישי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נחזור לפסוקים ו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נעסוק ב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מלך 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אסא</w:t>
      </w:r>
      <w:r w:rsidR="001423A6"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>.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נבקש לקשור את חטאו - הזמנת ארם למלחמה בישראל </w:t>
      </w:r>
      <w:r>
        <w:rPr>
          <w:rFonts w:ascii="David" w:eastAsia="Times New Roman" w:hAnsi="David" w:cs="David"/>
          <w:color w:val="000000"/>
          <w:kern w:val="36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לתפיסת עולמו של אביה אביו: כיוון ש'ישראל' מורדים בדוד, ובעיקר במקדש, יש לנהוג בהם כאויבים.</w:t>
      </w:r>
    </w:p>
    <w:p w:rsidR="009E5FC1" w:rsidRPr="006F5CC6" w:rsidRDefault="009E5FC1" w:rsidP="009E5FC1">
      <w:pPr>
        <w:bidi/>
        <w:spacing w:after="0"/>
        <w:ind w:firstLine="720"/>
        <w:outlineLvl w:val="0"/>
        <w:rPr>
          <w:rFonts w:ascii="David" w:eastAsia="Times New Roman" w:hAnsi="David" w:cs="David"/>
          <w:color w:val="000000"/>
          <w:kern w:val="36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kern w:val="36"/>
          <w:sz w:val="24"/>
          <w:szCs w:val="24"/>
          <w:rtl/>
        </w:rPr>
        <w:t xml:space="preserve"> </w:t>
      </w:r>
    </w:p>
    <w:p w:rsidR="00542DF3" w:rsidRDefault="00B25D92"/>
    <w:sectPr w:rsidR="00542DF3" w:rsidSect="00FF14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C1"/>
    <w:rsid w:val="001423A6"/>
    <w:rsid w:val="00886BF1"/>
    <w:rsid w:val="009D24B4"/>
    <w:rsid w:val="009E5FC1"/>
    <w:rsid w:val="00B25D92"/>
    <w:rsid w:val="00CC2DBB"/>
    <w:rsid w:val="00DC6F35"/>
    <w:rsid w:val="00DF25A1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2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2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2018-05-29T10:50:00Z</dcterms:created>
  <dcterms:modified xsi:type="dcterms:W3CDTF">2018-05-29T10:50:00Z</dcterms:modified>
</cp:coreProperties>
</file>