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0C" w:rsidRDefault="00B4360C" w:rsidP="00B4360C">
      <w:pPr>
        <w:outlineLvl w:val="0"/>
      </w:pPr>
      <w:r>
        <w:rPr>
          <w:b/>
          <w:bCs/>
        </w:rPr>
        <w:t>From:</w:t>
      </w:r>
      <w:r>
        <w:t xml:space="preserve"> </w:t>
      </w:r>
      <w:proofErr w:type="spellStart"/>
      <w:r>
        <w:t>Vang</w:t>
      </w:r>
      <w:proofErr w:type="spellEnd"/>
      <w:r>
        <w:t xml:space="preserve">, </w:t>
      </w:r>
      <w:proofErr w:type="spellStart"/>
      <w:r>
        <w:t>Yingya</w:t>
      </w:r>
      <w:proofErr w:type="spellEnd"/>
      <w:r>
        <w:t xml:space="preserve"> (CI-StPaul) &lt;</w:t>
      </w:r>
      <w:hyperlink r:id="rId4" w:history="1">
        <w:r>
          <w:rPr>
            <w:rStyle w:val="Hyperlink"/>
          </w:rPr>
          <w:t>Yingya.Vang@ci.stpaul.mn.us</w:t>
        </w:r>
      </w:hyperlink>
      <w:r>
        <w:t xml:space="preserve">&gt; </w:t>
      </w:r>
      <w:r>
        <w:br/>
      </w:r>
      <w:r>
        <w:rPr>
          <w:b/>
          <w:bCs/>
        </w:rPr>
        <w:t>Sent:</w:t>
      </w:r>
      <w:r>
        <w:t xml:space="preserve"> Tuesday, May 15, 2018 10:37 AM</w:t>
      </w:r>
      <w:r>
        <w:br/>
      </w:r>
      <w:r>
        <w:rPr>
          <w:b/>
          <w:bCs/>
        </w:rPr>
        <w:t>To:</w:t>
      </w:r>
      <w:r>
        <w:t xml:space="preserve"> </w:t>
      </w:r>
      <w:hyperlink r:id="rId5" w:history="1">
        <w:r>
          <w:rPr>
            <w:rStyle w:val="Hyperlink"/>
          </w:rPr>
          <w:t>info@roseensemble.org</w:t>
        </w:r>
      </w:hyperlink>
      <w:r>
        <w:br/>
      </w:r>
      <w:r>
        <w:rPr>
          <w:b/>
          <w:bCs/>
        </w:rPr>
        <w:t>Cc:</w:t>
      </w:r>
      <w:r>
        <w:t xml:space="preserve"> #CI-StPaul_Ward1 &lt;</w:t>
      </w:r>
      <w:hyperlink r:id="rId6" w:history="1">
        <w:r>
          <w:rPr>
            <w:rStyle w:val="Hyperlink"/>
          </w:rPr>
          <w:t>Ward1@ci.stpaul.mn.us</w:t>
        </w:r>
      </w:hyperlink>
      <w:r>
        <w:t>&gt;</w:t>
      </w:r>
      <w:r>
        <w:br/>
      </w:r>
      <w:r>
        <w:rPr>
          <w:b/>
          <w:bCs/>
        </w:rPr>
        <w:t>Subject:</w:t>
      </w:r>
      <w:r>
        <w:t xml:space="preserve"> Capella </w:t>
      </w:r>
      <w:proofErr w:type="spellStart"/>
      <w:r>
        <w:t>Quirina</w:t>
      </w:r>
      <w:proofErr w:type="spellEnd"/>
    </w:p>
    <w:p w:rsidR="00B4360C" w:rsidRDefault="00B4360C" w:rsidP="00B4360C"/>
    <w:p w:rsidR="00B4360C" w:rsidRDefault="00B4360C" w:rsidP="00B4360C">
      <w:r>
        <w:t>Hi Mr. Sramek,</w:t>
      </w:r>
    </w:p>
    <w:p w:rsidR="00B4360C" w:rsidRDefault="00B4360C" w:rsidP="00B4360C"/>
    <w:p w:rsidR="00B4360C" w:rsidRDefault="00B4360C" w:rsidP="00B4360C">
      <w:r>
        <w:t xml:space="preserve">Thank you for your invitation to the Capella </w:t>
      </w:r>
      <w:proofErr w:type="spellStart"/>
      <w:r>
        <w:t>Quirina</w:t>
      </w:r>
      <w:proofErr w:type="spellEnd"/>
      <w:r>
        <w:t xml:space="preserve"> performance by our sister city of </w:t>
      </w:r>
      <w:proofErr w:type="spellStart"/>
      <w:r>
        <w:t>Nuess</w:t>
      </w:r>
      <w:proofErr w:type="spellEnd"/>
      <w:r>
        <w:t xml:space="preserve">, Germany and reception with the mayor of </w:t>
      </w:r>
      <w:proofErr w:type="spellStart"/>
      <w:r>
        <w:t>Nuess</w:t>
      </w:r>
      <w:proofErr w:type="spellEnd"/>
      <w:r>
        <w:t xml:space="preserve">. Regretfully, Councilmember Dai Thao will be out of town on May </w:t>
      </w:r>
      <w:proofErr w:type="gramStart"/>
      <w:r>
        <w:t>20</w:t>
      </w:r>
      <w:r>
        <w:rPr>
          <w:vertAlign w:val="superscript"/>
        </w:rPr>
        <w:t>th</w:t>
      </w:r>
      <w:proofErr w:type="gramEnd"/>
      <w:r>
        <w:t xml:space="preserve"> and will not be able to make it to the performance or reception. Councilmember Thao wishes both events well and hopes for a warm welcome to our visitors.</w:t>
      </w:r>
    </w:p>
    <w:p w:rsidR="00B4360C" w:rsidRDefault="00B4360C" w:rsidP="00B4360C"/>
    <w:p w:rsidR="00B4360C" w:rsidRDefault="00B4360C" w:rsidP="00B4360C"/>
    <w:p w:rsidR="00B4360C" w:rsidRDefault="00B4360C" w:rsidP="00B4360C">
      <w:r>
        <w:t>Thank you,</w:t>
      </w:r>
    </w:p>
    <w:p w:rsidR="00B4360C" w:rsidRDefault="00B4360C" w:rsidP="00B4360C"/>
    <w:p w:rsidR="00B4360C" w:rsidRDefault="00B4360C" w:rsidP="00B4360C">
      <w:proofErr w:type="spellStart"/>
      <w:r>
        <w:t>Yingya</w:t>
      </w:r>
      <w:proofErr w:type="spellEnd"/>
    </w:p>
    <w:p w:rsidR="00B4360C" w:rsidRDefault="00B4360C" w:rsidP="00B4360C"/>
    <w:p w:rsidR="00B4360C" w:rsidRDefault="00B4360C" w:rsidP="00B4360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4494"/>
      </w:tblGrid>
      <w:tr w:rsidR="00B4360C" w:rsidTr="00B4360C">
        <w:tc>
          <w:tcPr>
            <w:tcW w:w="0" w:type="auto"/>
            <w:vMerge w:val="restart"/>
            <w:hideMark/>
          </w:tcPr>
          <w:p w:rsidR="00B4360C" w:rsidRDefault="00B4360C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noProof/>
                <w:color w:val="1F497D"/>
              </w:rPr>
              <w:drawing>
                <wp:inline distT="0" distB="0" distL="0" distR="0">
                  <wp:extent cx="614680" cy="1434465"/>
                  <wp:effectExtent l="0" t="0" r="0" b="0"/>
                  <wp:docPr id="5" name="Picture 5" descr="cid:image001.jpg@01D1A136.4C76B910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id:image001.jpg@01D1A136.4C76B9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680" cy="1434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B4360C" w:rsidRDefault="00B4360C">
            <w:pPr>
              <w:rPr>
                <w:rFonts w:ascii="Times New Roman, Times, serif" w:hAnsi="Times New Roman, Times, serif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, Times, serif" w:hAnsi="Times New Roman, Times, serif"/>
                <w:b/>
                <w:bCs/>
                <w:color w:val="000000"/>
                <w:sz w:val="28"/>
                <w:szCs w:val="28"/>
              </w:rPr>
              <w:t>Yingya</w:t>
            </w:r>
            <w:proofErr w:type="spellEnd"/>
            <w:r>
              <w:rPr>
                <w:rFonts w:ascii="Times New Roman, Times, serif" w:hAnsi="Times New Roman, Times, serif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, Times, serif" w:hAnsi="Times New Roman, Times, serif"/>
                <w:b/>
                <w:bCs/>
                <w:color w:val="000000"/>
                <w:sz w:val="28"/>
                <w:szCs w:val="28"/>
              </w:rPr>
              <w:t>Vang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  <w:r>
              <w:rPr>
                <w:rFonts w:ascii="Times New Roman, Times, serif" w:hAnsi="Times New Roman, Times, serif"/>
                <w:b/>
                <w:bCs/>
                <w:i/>
                <w:iCs/>
                <w:color w:val="000000"/>
              </w:rPr>
              <w:t>Executive Assistant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  <w:t>Councilmember Dai Thao - Ward 1</w:t>
            </w:r>
            <w:r>
              <w:rPr>
                <w:rFonts w:ascii="Times New Roman, Times, serif" w:hAnsi="Times New Roman, Times, serif"/>
                <w:color w:val="000000"/>
                <w:sz w:val="18"/>
                <w:szCs w:val="18"/>
              </w:rPr>
              <w:br/>
              <w:t>15 W. Kellogg Blvd - Suite 310A</w:t>
            </w:r>
            <w:r>
              <w:rPr>
                <w:rFonts w:ascii="Times New Roman, Times, serif" w:hAnsi="Times New Roman, Times, serif"/>
                <w:color w:val="000000"/>
                <w:sz w:val="18"/>
                <w:szCs w:val="18"/>
              </w:rPr>
              <w:br/>
              <w:t>Saint Paul, MN 55102</w:t>
            </w:r>
          </w:p>
          <w:p w:rsidR="00B4360C" w:rsidRDefault="00B4360C">
            <w:pPr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>
              <w:rPr>
                <w:rFonts w:ascii="Times New Roman, Times, serif" w:hAnsi="Times New Roman, Times, serif"/>
                <w:b/>
                <w:bCs/>
                <w:color w:val="000000"/>
                <w:sz w:val="18"/>
                <w:szCs w:val="18"/>
              </w:rPr>
              <w:t>P:</w:t>
            </w:r>
            <w:r>
              <w:rPr>
                <w:rFonts w:ascii="Times New Roman, Times, serif" w:hAnsi="Times New Roman, Times, serif"/>
                <w:color w:val="000000"/>
                <w:sz w:val="18"/>
                <w:szCs w:val="18"/>
              </w:rPr>
              <w:t xml:space="preserve"> 651-266-8610</w:t>
            </w:r>
          </w:p>
          <w:p w:rsidR="00B4360C" w:rsidRDefault="00B4360C">
            <w:pPr>
              <w:rPr>
                <w:rFonts w:ascii="Times New Roman, Times, serif" w:hAnsi="Times New Roman, Times, serif"/>
                <w:color w:val="000000"/>
                <w:sz w:val="18"/>
                <w:szCs w:val="18"/>
              </w:rPr>
            </w:pPr>
            <w:r>
              <w:rPr>
                <w:rFonts w:ascii="Times New Roman, Times, serif" w:hAnsi="Times New Roman, Times, serif"/>
                <w:b/>
                <w:bCs/>
                <w:color w:val="000000"/>
                <w:sz w:val="18"/>
                <w:szCs w:val="18"/>
              </w:rPr>
              <w:t>F:</w:t>
            </w:r>
            <w:r>
              <w:rPr>
                <w:rFonts w:ascii="Times New Roman, Times, serif" w:hAnsi="Times New Roman, Times, serif"/>
                <w:color w:val="000000"/>
                <w:sz w:val="18"/>
                <w:szCs w:val="18"/>
              </w:rPr>
              <w:t xml:space="preserve"> 651-266-8574</w:t>
            </w:r>
          </w:p>
        </w:tc>
      </w:tr>
      <w:tr w:rsidR="00B4360C" w:rsidTr="00B4360C">
        <w:tc>
          <w:tcPr>
            <w:tcW w:w="0" w:type="auto"/>
            <w:vMerge/>
            <w:vAlign w:val="center"/>
            <w:hideMark/>
          </w:tcPr>
          <w:p w:rsidR="00B4360C" w:rsidRDefault="00B4360C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2"/>
              <w:gridCol w:w="604"/>
              <w:gridCol w:w="540"/>
              <w:gridCol w:w="422"/>
            </w:tblGrid>
            <w:tr w:rsidR="00B4360C">
              <w:tc>
                <w:tcPr>
                  <w:tcW w:w="0" w:type="auto"/>
                  <w:vAlign w:val="center"/>
                  <w:hideMark/>
                </w:tcPr>
                <w:p w:rsidR="00B4360C" w:rsidRDefault="00B4360C">
                  <w:pPr>
                    <w:rPr>
                      <w:rFonts w:ascii="Helvetica" w:hAnsi="Helvetica" w:cs="Helvetica"/>
                      <w:color w:val="333333"/>
                      <w:sz w:val="21"/>
                      <w:szCs w:val="21"/>
                    </w:rPr>
                  </w:pPr>
                  <w:r>
                    <w:rPr>
                      <w:noProof/>
                      <w:color w:val="1F497D"/>
                    </w:rPr>
                    <w:drawing>
                      <wp:inline distT="0" distB="0" distL="0" distR="0">
                        <wp:extent cx="267970" cy="273050"/>
                        <wp:effectExtent l="0" t="0" r="0" b="0"/>
                        <wp:docPr id="4" name="Picture 4" descr="cid:image002.png@01D1DB55.42E6A550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id:image002.png@01D1DB55.42E6A55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r:link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360C" w:rsidRDefault="00B4360C">
                  <w:pPr>
                    <w:rPr>
                      <w:rFonts w:ascii="Helvetica" w:hAnsi="Helvetica" w:cs="Helvetica"/>
                      <w:color w:val="333333"/>
                      <w:sz w:val="21"/>
                      <w:szCs w:val="21"/>
                    </w:rPr>
                  </w:pPr>
                  <w:r>
                    <w:rPr>
                      <w:noProof/>
                      <w:color w:val="1F497D"/>
                    </w:rPr>
                    <w:drawing>
                      <wp:inline distT="0" distB="0" distL="0" distR="0">
                        <wp:extent cx="383540" cy="273050"/>
                        <wp:effectExtent l="0" t="0" r="0" b="0"/>
                        <wp:docPr id="3" name="Picture 3" descr="cid:image003.png@01D1A136.4C76B910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id:image003.png@01D1A136.4C76B9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r:link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354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360C" w:rsidRDefault="00B4360C">
                  <w:pPr>
                    <w:rPr>
                      <w:rFonts w:ascii="Helvetica" w:hAnsi="Helvetica" w:cs="Helvetica"/>
                      <w:color w:val="333333"/>
                      <w:sz w:val="21"/>
                      <w:szCs w:val="21"/>
                    </w:rPr>
                  </w:pPr>
                  <w:r>
                    <w:rPr>
                      <w:noProof/>
                      <w:color w:val="1F497D"/>
                    </w:rPr>
                    <w:drawing>
                      <wp:inline distT="0" distB="0" distL="0" distR="0">
                        <wp:extent cx="341630" cy="273050"/>
                        <wp:effectExtent l="0" t="0" r="1270" b="0"/>
                        <wp:docPr id="2" name="Picture 2" descr="cid:image004.png@01D1A136.4C76B910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id:image004.png@01D1A136.4C76B9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r:link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163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4360C" w:rsidRDefault="00B4360C">
                  <w:pPr>
                    <w:rPr>
                      <w:rFonts w:ascii="Helvetica" w:hAnsi="Helvetica" w:cs="Helvetica"/>
                      <w:color w:val="333333"/>
                      <w:sz w:val="21"/>
                      <w:szCs w:val="21"/>
                    </w:rPr>
                  </w:pPr>
                  <w:r>
                    <w:rPr>
                      <w:noProof/>
                      <w:color w:val="1F497D"/>
                    </w:rPr>
                    <w:drawing>
                      <wp:inline distT="0" distB="0" distL="0" distR="0">
                        <wp:extent cx="267970" cy="273050"/>
                        <wp:effectExtent l="0" t="0" r="0" b="0"/>
                        <wp:docPr id="1" name="Picture 1" descr="cid:image005.jpg@01D1A136.4C76B910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id:image005.jpg@01D1A136.4C76B9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r:link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4360C" w:rsidRDefault="00B436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360C" w:rsidTr="00B4360C">
        <w:tc>
          <w:tcPr>
            <w:tcW w:w="0" w:type="auto"/>
            <w:gridSpan w:val="2"/>
            <w:vAlign w:val="center"/>
            <w:hideMark/>
          </w:tcPr>
          <w:p w:rsidR="00B4360C" w:rsidRDefault="00B4360C">
            <w:pPr>
              <w:rPr>
                <w:rFonts w:ascii="Helvetica" w:hAnsi="Helvetica" w:cs="Helvetica"/>
                <w:color w:val="298732"/>
                <w:sz w:val="18"/>
                <w:szCs w:val="18"/>
              </w:rPr>
            </w:pPr>
            <w:r>
              <w:rPr>
                <w:rFonts w:ascii="Helvetica" w:hAnsi="Helvetica" w:cs="Helvetica"/>
                <w:color w:val="298732"/>
                <w:sz w:val="18"/>
                <w:szCs w:val="18"/>
              </w:rPr>
              <w:t>Making Saint Paul the Most Livable City in America</w:t>
            </w:r>
          </w:p>
          <w:p w:rsidR="00B4360C" w:rsidRDefault="00B4360C">
            <w:pPr>
              <w:rPr>
                <w:rFonts w:ascii="Helvetica" w:hAnsi="Helvetica" w:cs="Helvetica"/>
                <w:color w:val="943634"/>
                <w:sz w:val="21"/>
                <w:szCs w:val="21"/>
              </w:rPr>
            </w:pPr>
            <w:r>
              <w:rPr>
                <w:rFonts w:ascii="Helvetica" w:hAnsi="Helvetica" w:cs="Helvetica"/>
                <w:color w:val="943634"/>
                <w:sz w:val="18"/>
                <w:szCs w:val="18"/>
              </w:rPr>
              <w:t>Click on the red envelope above to Subscribe to the Ward 1 E-Newsletter</w:t>
            </w:r>
          </w:p>
        </w:tc>
      </w:tr>
    </w:tbl>
    <w:p w:rsidR="00772FF4" w:rsidRDefault="00772FF4">
      <w:bookmarkStart w:id="0" w:name="_GoBack"/>
      <w:bookmarkEnd w:id="0"/>
    </w:p>
    <w:sectPr w:rsidR="00772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 Times, seri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60C"/>
    <w:rsid w:val="00772FF4"/>
    <w:rsid w:val="00B4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16DFA3-0252-449A-BA73-76F3DC7A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60C"/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43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tpaul.gov/myt" TargetMode="External"/><Relationship Id="rId18" Type="http://schemas.openxmlformats.org/officeDocument/2006/relationships/image" Target="cid:image004.png@01D3EC36.F8701340" TargetMode="External"/><Relationship Id="rId3" Type="http://schemas.openxmlformats.org/officeDocument/2006/relationships/webSettings" Target="webSettings.xml"/><Relationship Id="rId21" Type="http://schemas.openxmlformats.org/officeDocument/2006/relationships/image" Target="cid:image005.png@01D3EC36.F8701340" TargetMode="External"/><Relationship Id="rId7" Type="http://schemas.openxmlformats.org/officeDocument/2006/relationships/hyperlink" Target="http://www.stpaul.gov/" TargetMode="External"/><Relationship Id="rId12" Type="http://schemas.openxmlformats.org/officeDocument/2006/relationships/image" Target="cid:image002.png@01D3EC36.F8701340" TargetMode="External"/><Relationship Id="rId1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hyperlink" Target="http://www.stpaul.gov/mtw" TargetMode="External"/><Relationship Id="rId20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hyperlink" Target="mailto:Ward1@ci.stpaul.mn.us" TargetMode="External"/><Relationship Id="rId11" Type="http://schemas.openxmlformats.org/officeDocument/2006/relationships/image" Target="media/image2.png"/><Relationship Id="rId5" Type="http://schemas.openxmlformats.org/officeDocument/2006/relationships/hyperlink" Target="mailto:info@roseensemble.org" TargetMode="External"/><Relationship Id="rId15" Type="http://schemas.openxmlformats.org/officeDocument/2006/relationships/image" Target="cid:image003.png@01D3EC36.F870134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facebook.com/Ward1Office/" TargetMode="External"/><Relationship Id="rId19" Type="http://schemas.openxmlformats.org/officeDocument/2006/relationships/hyperlink" Target="https://public.govdelivery.com/accounts/STPAUL/subscriber/new?topic_id=STPAUL_1023" TargetMode="External"/><Relationship Id="rId4" Type="http://schemas.openxmlformats.org/officeDocument/2006/relationships/hyperlink" Target="mailto:Yingya.Vang@ci.stpaul.mn.us" TargetMode="External"/><Relationship Id="rId9" Type="http://schemas.openxmlformats.org/officeDocument/2006/relationships/image" Target="cid:image001.png@01D3EC36.F8701340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Hearon</dc:creator>
  <cp:keywords/>
  <dc:description/>
  <cp:lastModifiedBy>Holly Hearon</cp:lastModifiedBy>
  <cp:revision>1</cp:revision>
  <dcterms:created xsi:type="dcterms:W3CDTF">2018-05-15T15:47:00Z</dcterms:created>
  <dcterms:modified xsi:type="dcterms:W3CDTF">2018-05-15T15:47:00Z</dcterms:modified>
</cp:coreProperties>
</file>