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083" w14:textId="77777777" w:rsidR="00185E4C" w:rsidRPr="00185E4C" w:rsidRDefault="00185E4C" w:rsidP="00185E4C">
      <w:pPr>
        <w:rPr>
          <w:rFonts w:ascii="Calibri" w:eastAsia="Calibri" w:hAnsi="Calibri" w:cs="Times New Roman"/>
          <w:b/>
          <w:bCs/>
          <w:sz w:val="72"/>
          <w:szCs w:val="72"/>
          <w:lang w:val="en-US"/>
        </w:rPr>
      </w:pPr>
      <w:r w:rsidRPr="00185E4C">
        <w:rPr>
          <w:rFonts w:ascii="Calibri" w:eastAsia="Calibri" w:hAnsi="Calibri" w:cs="Times New Roman"/>
          <w:noProof/>
        </w:rPr>
        <w:drawing>
          <wp:anchor distT="0" distB="0" distL="114300" distR="114300" simplePos="0" relativeHeight="251659264" behindDoc="1" locked="0" layoutInCell="1" allowOverlap="1" wp14:anchorId="6C74DA40" wp14:editId="59E5A915">
            <wp:simplePos x="0" y="0"/>
            <wp:positionH relativeFrom="column">
              <wp:posOffset>2162175</wp:posOffset>
            </wp:positionH>
            <wp:positionV relativeFrom="paragraph">
              <wp:posOffset>-28575</wp:posOffset>
            </wp:positionV>
            <wp:extent cx="1409700" cy="1409700"/>
            <wp:effectExtent l="0" t="0" r="0" b="0"/>
            <wp:wrapTight wrapText="bothSides">
              <wp:wrapPolygon edited="0">
                <wp:start x="8465" y="0"/>
                <wp:lineTo x="5838" y="876"/>
                <wp:lineTo x="1168" y="3795"/>
                <wp:lineTo x="1168" y="4962"/>
                <wp:lineTo x="0" y="7589"/>
                <wp:lineTo x="0" y="14303"/>
                <wp:lineTo x="3503" y="18973"/>
                <wp:lineTo x="3795" y="19265"/>
                <wp:lineTo x="7589" y="21016"/>
                <wp:lineTo x="8465" y="21308"/>
                <wp:lineTo x="12843" y="21308"/>
                <wp:lineTo x="13719" y="21016"/>
                <wp:lineTo x="18097" y="18973"/>
                <wp:lineTo x="21308" y="14303"/>
                <wp:lineTo x="21308" y="8173"/>
                <wp:lineTo x="20432" y="4086"/>
                <wp:lineTo x="14886" y="876"/>
                <wp:lineTo x="12843" y="0"/>
                <wp:lineTo x="8465"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14:sizeRelH relativeFrom="page">
              <wp14:pctWidth>0</wp14:pctWidth>
            </wp14:sizeRelH>
            <wp14:sizeRelV relativeFrom="page">
              <wp14:pctHeight>0</wp14:pctHeight>
            </wp14:sizeRelV>
          </wp:anchor>
        </w:drawing>
      </w:r>
    </w:p>
    <w:p w14:paraId="76B2C714" w14:textId="77777777" w:rsidR="00185E4C" w:rsidRPr="00185E4C" w:rsidRDefault="00185E4C" w:rsidP="00185E4C">
      <w:pPr>
        <w:rPr>
          <w:rFonts w:ascii="Calibri" w:eastAsia="Calibri" w:hAnsi="Calibri" w:cs="Times New Roman"/>
          <w:b/>
          <w:bCs/>
          <w:sz w:val="72"/>
          <w:szCs w:val="72"/>
          <w:lang w:val="en-US"/>
        </w:rPr>
      </w:pPr>
    </w:p>
    <w:p w14:paraId="438C5422" w14:textId="77777777" w:rsidR="00185E4C" w:rsidRPr="00185E4C" w:rsidRDefault="00185E4C" w:rsidP="00185E4C">
      <w:pPr>
        <w:jc w:val="center"/>
        <w:rPr>
          <w:rFonts w:ascii="Calibri" w:eastAsia="Calibri" w:hAnsi="Calibri" w:cs="Times New Roman"/>
          <w:b/>
          <w:bCs/>
          <w:sz w:val="44"/>
          <w:szCs w:val="44"/>
          <w:lang w:val="en-US"/>
        </w:rPr>
      </w:pPr>
      <w:r w:rsidRPr="00185E4C">
        <w:rPr>
          <w:rFonts w:ascii="Calibri" w:eastAsia="Calibri" w:hAnsi="Calibri" w:cs="Times New Roman"/>
          <w:b/>
          <w:bCs/>
          <w:sz w:val="44"/>
          <w:szCs w:val="44"/>
          <w:lang w:val="en-US"/>
        </w:rPr>
        <w:t>Property360 Agency®</w:t>
      </w:r>
    </w:p>
    <w:p w14:paraId="79847E94" w14:textId="77777777" w:rsidR="00185E4C" w:rsidRPr="00185E4C" w:rsidRDefault="00185E4C" w:rsidP="00185E4C">
      <w:pPr>
        <w:jc w:val="center"/>
        <w:rPr>
          <w:rFonts w:ascii="Calibri" w:eastAsia="Calibri" w:hAnsi="Calibri" w:cs="Times New Roman"/>
          <w:lang w:val="en-US"/>
        </w:rPr>
      </w:pPr>
      <w:r w:rsidRPr="00185E4C">
        <w:rPr>
          <w:rFonts w:ascii="Calibri" w:eastAsia="Calibri" w:hAnsi="Calibri" w:cs="Times New Roman"/>
          <w:b/>
          <w:bCs/>
          <w:lang w:val="en-US"/>
        </w:rPr>
        <w:t>Sales | Rentals | Compliance | Finance — All Under One Roof</w:t>
      </w:r>
    </w:p>
    <w:p w14:paraId="6AF8F8FC" w14:textId="77777777" w:rsidR="00185E4C" w:rsidRPr="00185E4C" w:rsidRDefault="00185E4C" w:rsidP="00185E4C">
      <w:pPr>
        <w:jc w:val="center"/>
        <w:rPr>
          <w:rFonts w:ascii="Calibri" w:eastAsia="Calibri" w:hAnsi="Calibri" w:cs="Times New Roman"/>
          <w:sz w:val="18"/>
          <w:szCs w:val="18"/>
        </w:rPr>
      </w:pPr>
      <w:r w:rsidRPr="00185E4C">
        <w:rPr>
          <w:rFonts w:ascii="Calibri" w:eastAsia="Calibri" w:hAnsi="Calibri" w:cs="Times New Roman"/>
          <w:sz w:val="18"/>
          <w:szCs w:val="18"/>
        </w:rPr>
        <w:t>Operating with embedded compliance governance and in-house finance capability.</w:t>
      </w:r>
    </w:p>
    <w:p w14:paraId="24C3C5C6" w14:textId="77777777" w:rsidR="00A5170C" w:rsidRDefault="00A5170C"/>
    <w:p w14:paraId="29BAFE2A" w14:textId="148B8C40" w:rsidR="00A5170C" w:rsidRPr="00185E4C" w:rsidRDefault="00E05D10" w:rsidP="00185E4C">
      <w:pPr>
        <w:jc w:val="center"/>
        <w:rPr>
          <w:b/>
          <w:bCs/>
          <w:color w:val="009999"/>
          <w:sz w:val="36"/>
          <w:szCs w:val="36"/>
        </w:rPr>
      </w:pPr>
      <w:r>
        <w:rPr>
          <w:b/>
          <w:bCs/>
          <w:color w:val="009999"/>
          <w:sz w:val="36"/>
          <w:szCs w:val="36"/>
        </w:rPr>
        <w:t>Pricing -</w:t>
      </w:r>
      <w:r w:rsidR="00A5170C" w:rsidRPr="00185E4C">
        <w:rPr>
          <w:b/>
          <w:bCs/>
          <w:color w:val="009999"/>
          <w:sz w:val="36"/>
          <w:szCs w:val="36"/>
        </w:rPr>
        <w:t xml:space="preserve">Expenses &amp; Revenue </w:t>
      </w:r>
      <w:r>
        <w:rPr>
          <w:b/>
          <w:bCs/>
          <w:color w:val="009999"/>
          <w:sz w:val="36"/>
          <w:szCs w:val="36"/>
        </w:rPr>
        <w:t xml:space="preserve"> - Group Model</w:t>
      </w:r>
    </w:p>
    <w:p w14:paraId="56E42098" w14:textId="77777777" w:rsidR="00185E4C" w:rsidRDefault="00185E4C" w:rsidP="00185E4C">
      <w:pPr>
        <w:rPr>
          <w:b/>
          <w:bCs/>
          <w:sz w:val="24"/>
          <w:szCs w:val="24"/>
          <w:lang w:val="en-US"/>
        </w:rPr>
      </w:pPr>
    </w:p>
    <w:p w14:paraId="096B56F9" w14:textId="77777777" w:rsidR="00EF2B47" w:rsidRDefault="00EF2B47" w:rsidP="00185E4C">
      <w:pPr>
        <w:rPr>
          <w:b/>
          <w:bCs/>
          <w:sz w:val="24"/>
          <w:szCs w:val="24"/>
          <w:lang w:val="en-US"/>
        </w:rPr>
      </w:pPr>
    </w:p>
    <w:p w14:paraId="16AC3A85" w14:textId="1BD65AF0" w:rsidR="00185E4C" w:rsidRPr="00E05D10" w:rsidRDefault="00185E4C" w:rsidP="00185E4C">
      <w:pPr>
        <w:rPr>
          <w:b/>
          <w:bCs/>
          <w:sz w:val="24"/>
          <w:szCs w:val="24"/>
          <w:lang w:val="en-US"/>
        </w:rPr>
      </w:pPr>
      <w:r w:rsidRPr="00E05D10">
        <w:rPr>
          <w:b/>
          <w:bCs/>
          <w:sz w:val="24"/>
          <w:szCs w:val="24"/>
          <w:lang w:val="en-US"/>
        </w:rPr>
        <w:t>How the Embedded Finance Manager Multiplies Results</w:t>
      </w:r>
    </w:p>
    <w:p w14:paraId="0ED9A429" w14:textId="77777777" w:rsidR="00E05D10" w:rsidRPr="00E05D10" w:rsidRDefault="00E05D10" w:rsidP="00E05D10">
      <w:pPr>
        <w:spacing w:after="0" w:line="240" w:lineRule="auto"/>
        <w:rPr>
          <w:rFonts w:eastAsia="Calibri" w:cstheme="minorHAnsi"/>
          <w:kern w:val="0"/>
          <w:sz w:val="24"/>
          <w:szCs w:val="24"/>
        </w:rPr>
      </w:pPr>
      <w:r w:rsidRPr="00E05D10">
        <w:rPr>
          <w:rFonts w:eastAsia="Calibri" w:cstheme="minorHAnsi"/>
          <w:kern w:val="0"/>
          <w:sz w:val="24"/>
          <w:szCs w:val="24"/>
        </w:rPr>
        <w:t xml:space="preserve">To illustrate how Property360 scales at group level, the following example uses a standard office of three agents operating under one franchise or group location. For franchise and large group deployments, pricing is structured at </w:t>
      </w:r>
      <w:r w:rsidRPr="00E05D10">
        <w:rPr>
          <w:rFonts w:eastAsia="Calibri" w:cstheme="minorHAnsi"/>
          <w:b/>
          <w:bCs/>
          <w:kern w:val="0"/>
          <w:sz w:val="24"/>
          <w:szCs w:val="24"/>
        </w:rPr>
        <w:t>$1,000 per office for setup</w:t>
      </w:r>
      <w:r w:rsidRPr="00E05D10">
        <w:rPr>
          <w:rFonts w:eastAsia="Calibri" w:cstheme="minorHAnsi"/>
          <w:kern w:val="0"/>
          <w:sz w:val="24"/>
          <w:szCs w:val="24"/>
        </w:rPr>
        <w:t xml:space="preserve"> and </w:t>
      </w:r>
      <w:r w:rsidRPr="00E05D10">
        <w:rPr>
          <w:rFonts w:eastAsia="Calibri" w:cstheme="minorHAnsi"/>
          <w:b/>
          <w:bCs/>
          <w:kern w:val="0"/>
          <w:sz w:val="24"/>
          <w:szCs w:val="24"/>
        </w:rPr>
        <w:t>$495 per office per month</w:t>
      </w:r>
      <w:r w:rsidRPr="00E05D10">
        <w:rPr>
          <w:rFonts w:eastAsia="Calibri" w:cstheme="minorHAnsi"/>
          <w:kern w:val="0"/>
          <w:sz w:val="24"/>
          <w:szCs w:val="24"/>
        </w:rPr>
        <w:t>, delivering the same embedded finance and AML/CTF compliance framework used in standalone agencies.</w:t>
      </w:r>
    </w:p>
    <w:p w14:paraId="7385A150" w14:textId="77777777" w:rsidR="00E05D10" w:rsidRPr="00E05D10" w:rsidRDefault="00E05D10" w:rsidP="00E05D10">
      <w:pPr>
        <w:spacing w:after="0" w:line="240" w:lineRule="auto"/>
        <w:rPr>
          <w:rFonts w:eastAsia="Calibri" w:cstheme="minorHAnsi"/>
          <w:kern w:val="0"/>
          <w:sz w:val="24"/>
          <w:szCs w:val="24"/>
        </w:rPr>
      </w:pPr>
    </w:p>
    <w:p w14:paraId="01ECC1A7" w14:textId="4E7B840C" w:rsidR="00E05D10" w:rsidRPr="00E05D10" w:rsidRDefault="00E05D10" w:rsidP="00E05D10">
      <w:pPr>
        <w:spacing w:after="0" w:line="240" w:lineRule="auto"/>
        <w:rPr>
          <w:rFonts w:eastAsia="Calibri" w:cstheme="minorHAnsi"/>
          <w:kern w:val="0"/>
          <w:sz w:val="24"/>
          <w:szCs w:val="24"/>
        </w:rPr>
      </w:pPr>
      <w:r w:rsidRPr="00E05D10">
        <w:rPr>
          <w:rFonts w:eastAsia="Calibri" w:cstheme="minorHAnsi"/>
          <w:kern w:val="0"/>
          <w:sz w:val="24"/>
          <w:szCs w:val="24"/>
        </w:rPr>
        <w:t xml:space="preserve"> This model is intentionally modular—allowing the same three-agent office structure to be duplicated across the network, office by office, while supporting hybrid, centralised, sole, or remote Finance and Compliance Officers depending on the group’s operational, compliance, and governance requirements. Remuneration structures for finance commissions are discussed and negotiated at group head office level. </w:t>
      </w:r>
    </w:p>
    <w:p w14:paraId="72CDC502" w14:textId="77777777" w:rsidR="00E05D10" w:rsidRPr="00E05D10" w:rsidRDefault="00E05D10" w:rsidP="00E05D10">
      <w:pPr>
        <w:spacing w:after="0" w:line="240" w:lineRule="auto"/>
        <w:rPr>
          <w:rFonts w:eastAsia="Calibri" w:cstheme="minorHAnsi"/>
          <w:kern w:val="0"/>
          <w:sz w:val="24"/>
          <w:szCs w:val="24"/>
        </w:rPr>
      </w:pPr>
    </w:p>
    <w:p w14:paraId="684DAD1F" w14:textId="51D8A2B5" w:rsidR="00185E4C" w:rsidRPr="00E05D10" w:rsidRDefault="00185E4C" w:rsidP="00185E4C">
      <w:pPr>
        <w:rPr>
          <w:sz w:val="24"/>
          <w:szCs w:val="24"/>
          <w:lang w:val="en-US"/>
        </w:rPr>
      </w:pPr>
      <w:r w:rsidRPr="00E05D10">
        <w:rPr>
          <w:sz w:val="24"/>
          <w:szCs w:val="24"/>
          <w:lang w:val="en-US"/>
        </w:rPr>
        <w:t xml:space="preserve">The Finance Manager is embedded directly into </w:t>
      </w:r>
      <w:r w:rsidR="006F62E0">
        <w:rPr>
          <w:sz w:val="24"/>
          <w:szCs w:val="24"/>
          <w:lang w:val="en-US"/>
        </w:rPr>
        <w:t>an office(s)</w:t>
      </w:r>
      <w:r w:rsidRPr="00E05D10">
        <w:rPr>
          <w:sz w:val="24"/>
          <w:szCs w:val="24"/>
          <w:lang w:val="en-US"/>
        </w:rPr>
        <w:t xml:space="preserve"> and has access to </w:t>
      </w:r>
      <w:r w:rsidRPr="00E05D10">
        <w:rPr>
          <w:b/>
          <w:bCs/>
          <w:sz w:val="24"/>
          <w:szCs w:val="24"/>
          <w:lang w:val="en-US"/>
        </w:rPr>
        <w:t>all prospects</w:t>
      </w:r>
      <w:r w:rsidRPr="00E05D10">
        <w:rPr>
          <w:sz w:val="24"/>
          <w:szCs w:val="24"/>
          <w:lang w:val="en-US"/>
        </w:rPr>
        <w:t xml:space="preserve"> for both compliance and finance opportunities. While </w:t>
      </w:r>
      <w:r w:rsidR="006F62E0">
        <w:rPr>
          <w:sz w:val="24"/>
          <w:szCs w:val="24"/>
          <w:lang w:val="en-US"/>
        </w:rPr>
        <w:t>each agent</w:t>
      </w:r>
      <w:r w:rsidRPr="00E05D10">
        <w:rPr>
          <w:sz w:val="24"/>
          <w:szCs w:val="24"/>
          <w:lang w:val="en-US"/>
        </w:rPr>
        <w:t xml:space="preserve"> may personally settle one property transaction per month, the Finance Manager can settle </w:t>
      </w:r>
      <w:r w:rsidRPr="00E05D10">
        <w:rPr>
          <w:b/>
          <w:bCs/>
          <w:sz w:val="24"/>
          <w:szCs w:val="24"/>
          <w:lang w:val="en-US"/>
        </w:rPr>
        <w:t>two or more finance deals</w:t>
      </w:r>
      <w:r w:rsidRPr="00E05D10">
        <w:rPr>
          <w:sz w:val="24"/>
          <w:szCs w:val="24"/>
          <w:lang w:val="en-US"/>
        </w:rPr>
        <w:t xml:space="preserve"> by assisting clients who engage with </w:t>
      </w:r>
      <w:r w:rsidR="006F62E0">
        <w:rPr>
          <w:sz w:val="24"/>
          <w:szCs w:val="24"/>
          <w:lang w:val="en-US"/>
        </w:rPr>
        <w:t>the agent</w:t>
      </w:r>
      <w:r w:rsidRPr="00E05D10">
        <w:rPr>
          <w:sz w:val="24"/>
          <w:szCs w:val="24"/>
          <w:lang w:val="en-US"/>
        </w:rPr>
        <w:t xml:space="preserve"> initially but ultimately purchase elsewhere. Even when a prospect buys another property through a different agent, </w:t>
      </w:r>
      <w:r w:rsidRPr="00E05D10">
        <w:rPr>
          <w:b/>
          <w:bCs/>
          <w:sz w:val="24"/>
          <w:szCs w:val="24"/>
          <w:lang w:val="en-US"/>
        </w:rPr>
        <w:t>you</w:t>
      </w:r>
      <w:r w:rsidR="006F62E0">
        <w:rPr>
          <w:b/>
          <w:bCs/>
          <w:sz w:val="24"/>
          <w:szCs w:val="24"/>
          <w:lang w:val="en-US"/>
        </w:rPr>
        <w:t>r office</w:t>
      </w:r>
      <w:r w:rsidRPr="00E05D10">
        <w:rPr>
          <w:b/>
          <w:bCs/>
          <w:sz w:val="24"/>
          <w:szCs w:val="24"/>
          <w:lang w:val="en-US"/>
        </w:rPr>
        <w:t xml:space="preserve"> still benefit</w:t>
      </w:r>
      <w:r w:rsidR="006F62E0">
        <w:rPr>
          <w:b/>
          <w:bCs/>
          <w:sz w:val="24"/>
          <w:szCs w:val="24"/>
          <w:lang w:val="en-US"/>
        </w:rPr>
        <w:t>s</w:t>
      </w:r>
      <w:r w:rsidRPr="00E05D10">
        <w:rPr>
          <w:b/>
          <w:bCs/>
          <w:sz w:val="24"/>
          <w:szCs w:val="24"/>
          <w:lang w:val="en-US"/>
        </w:rPr>
        <w:t xml:space="preserve"> from the finance settlement</w:t>
      </w:r>
      <w:r w:rsidRPr="00E05D10">
        <w:rPr>
          <w:sz w:val="24"/>
          <w:szCs w:val="24"/>
          <w:lang w:val="en-US"/>
        </w:rPr>
        <w:t>. In short, every prospect becomes a finance opportunity—so you</w:t>
      </w:r>
      <w:r w:rsidR="006F62E0">
        <w:rPr>
          <w:sz w:val="24"/>
          <w:szCs w:val="24"/>
          <w:lang w:val="en-US"/>
        </w:rPr>
        <w:t>r office</w:t>
      </w:r>
      <w:r w:rsidRPr="00E05D10">
        <w:rPr>
          <w:sz w:val="24"/>
          <w:szCs w:val="24"/>
          <w:lang w:val="en-US"/>
        </w:rPr>
        <w:t xml:space="preserve"> win</w:t>
      </w:r>
      <w:r w:rsidR="006F62E0">
        <w:rPr>
          <w:sz w:val="24"/>
          <w:szCs w:val="24"/>
          <w:lang w:val="en-US"/>
        </w:rPr>
        <w:t>s</w:t>
      </w:r>
      <w:r w:rsidRPr="00E05D10">
        <w:rPr>
          <w:sz w:val="24"/>
          <w:szCs w:val="24"/>
          <w:lang w:val="en-US"/>
        </w:rPr>
        <w:t xml:space="preserve"> regardless of where the purchase occurs.</w:t>
      </w:r>
    </w:p>
    <w:p w14:paraId="62C54640" w14:textId="77777777" w:rsidR="00EF2B47" w:rsidRDefault="00EF2B47" w:rsidP="00EF2B47">
      <w:pPr>
        <w:rPr>
          <w:sz w:val="24"/>
          <w:szCs w:val="24"/>
          <w:lang w:val="en-US"/>
        </w:rPr>
      </w:pPr>
    </w:p>
    <w:p w14:paraId="162CB58E" w14:textId="77777777" w:rsidR="00EF2B47" w:rsidRPr="00EF2B47" w:rsidRDefault="00EF2B47" w:rsidP="00EF2B47">
      <w:pPr>
        <w:rPr>
          <w:sz w:val="24"/>
          <w:szCs w:val="24"/>
          <w:lang w:val="en-US"/>
        </w:rPr>
      </w:pPr>
    </w:p>
    <w:p w14:paraId="6F89368B" w14:textId="77777777" w:rsidR="00EF2B47" w:rsidRDefault="00EF2B47" w:rsidP="00EF2B47">
      <w:pPr>
        <w:rPr>
          <w:color w:val="009999"/>
          <w:sz w:val="36"/>
          <w:szCs w:val="36"/>
          <w:lang w:val="en-US"/>
        </w:rPr>
      </w:pPr>
      <w:r w:rsidRPr="00EF2B47">
        <w:rPr>
          <w:color w:val="009999"/>
          <w:sz w:val="36"/>
          <w:szCs w:val="36"/>
          <w:lang w:val="en-US"/>
        </w:rPr>
        <w:t xml:space="preserve"> </w:t>
      </w:r>
    </w:p>
    <w:p w14:paraId="2432BDFB" w14:textId="77777777" w:rsidR="00EF2B47" w:rsidRDefault="00EF2B47" w:rsidP="00EF2B47">
      <w:pPr>
        <w:rPr>
          <w:color w:val="009999"/>
          <w:sz w:val="36"/>
          <w:szCs w:val="36"/>
          <w:lang w:val="en-US"/>
        </w:rPr>
      </w:pPr>
    </w:p>
    <w:p w14:paraId="5DF95D06" w14:textId="38611D89" w:rsidR="00EF2B47" w:rsidRDefault="00EF2B47" w:rsidP="00EF2B47">
      <w:pPr>
        <w:rPr>
          <w:color w:val="009999"/>
          <w:sz w:val="36"/>
          <w:szCs w:val="36"/>
          <w:lang w:val="en-US"/>
        </w:rPr>
      </w:pPr>
      <w:r>
        <w:rPr>
          <w:color w:val="009999"/>
          <w:sz w:val="36"/>
          <w:szCs w:val="36"/>
          <w:lang w:val="en-US"/>
        </w:rPr>
        <w:t xml:space="preserve">EXAMPLE OF ONE OFFICE SCENARIO: </w:t>
      </w:r>
    </w:p>
    <w:p w14:paraId="4C3DD83C" w14:textId="49AF1D06" w:rsidR="00EF2B47" w:rsidRPr="00EF2B47" w:rsidRDefault="00EF2B47" w:rsidP="00EF2B47">
      <w:pPr>
        <w:rPr>
          <w:color w:val="009999"/>
          <w:sz w:val="36"/>
          <w:szCs w:val="36"/>
          <w:lang w:val="en-US"/>
        </w:rPr>
      </w:pPr>
      <w:r w:rsidRPr="00EF2B47">
        <w:rPr>
          <w:b/>
          <w:bCs/>
          <w:color w:val="009999"/>
          <w:sz w:val="36"/>
          <w:szCs w:val="36"/>
          <w:lang w:val="en-US"/>
        </w:rPr>
        <w:t xml:space="preserve">Expenses &amp; Revenue – Single Agency Model (3 Agents) </w:t>
      </w:r>
    </w:p>
    <w:p w14:paraId="36C23DB6" w14:textId="77777777" w:rsidR="00EF2B47" w:rsidRDefault="00EF2B47" w:rsidP="00EF2B47">
      <w:pPr>
        <w:rPr>
          <w:b/>
          <w:bCs/>
          <w:sz w:val="24"/>
          <w:szCs w:val="24"/>
          <w:lang w:val="en-US"/>
        </w:rPr>
      </w:pPr>
    </w:p>
    <w:p w14:paraId="7B9D52DB" w14:textId="019E7384" w:rsidR="00EF2B47" w:rsidRPr="00EF2B47" w:rsidRDefault="00EF2B47" w:rsidP="00EF2B47">
      <w:pPr>
        <w:rPr>
          <w:sz w:val="24"/>
          <w:szCs w:val="24"/>
          <w:lang w:val="en-US"/>
        </w:rPr>
      </w:pPr>
      <w:r w:rsidRPr="00EF2B47">
        <w:rPr>
          <w:b/>
          <w:bCs/>
          <w:sz w:val="24"/>
          <w:szCs w:val="24"/>
          <w:lang w:val="en-US"/>
        </w:rPr>
        <w:t xml:space="preserve">How the Embedded Finance Manager Multiplies Results </w:t>
      </w:r>
    </w:p>
    <w:p w14:paraId="5D808C53" w14:textId="77777777" w:rsidR="00EF2B47" w:rsidRPr="00EF2B47" w:rsidRDefault="00EF2B47" w:rsidP="00EF2B47">
      <w:pPr>
        <w:rPr>
          <w:sz w:val="24"/>
          <w:szCs w:val="24"/>
          <w:lang w:val="en-US"/>
        </w:rPr>
      </w:pPr>
      <w:r w:rsidRPr="00EF2B47">
        <w:rPr>
          <w:sz w:val="24"/>
          <w:szCs w:val="24"/>
          <w:lang w:val="en-US"/>
        </w:rPr>
        <w:t xml:space="preserve">The Finance Manager is embedded directly into the agency and has access to all prospects generated by all agents for both compliance and finance opportunities. Each agent may personally settle property transactions; however, the Finance Manager can settle finance for clients who purchase through other agencies. Every prospect remains a finance opportunity for the office—regardless of where the property is purchased—ensuring the agency benefits from every client interaction. </w:t>
      </w:r>
    </w:p>
    <w:p w14:paraId="2794343B" w14:textId="77777777" w:rsidR="00EF2B47" w:rsidRPr="00EF2B47" w:rsidRDefault="00EF2B47" w:rsidP="00EF2B47">
      <w:pPr>
        <w:rPr>
          <w:sz w:val="24"/>
          <w:szCs w:val="24"/>
          <w:lang w:val="en-US"/>
        </w:rPr>
      </w:pPr>
      <w:r w:rsidRPr="00EF2B47">
        <w:rPr>
          <w:b/>
          <w:bCs/>
          <w:sz w:val="24"/>
          <w:szCs w:val="24"/>
          <w:lang w:val="en-US"/>
        </w:rPr>
        <w:t xml:space="preserve">Expenses &amp; Revenue – Single Agency (3 Agents, 2 Settlements per Agent per Month) </w:t>
      </w:r>
    </w:p>
    <w:p w14:paraId="7BA47A5F" w14:textId="77777777" w:rsidR="00EF2B47" w:rsidRPr="00EF2B47" w:rsidRDefault="00EF2B47" w:rsidP="00EF2B47">
      <w:pPr>
        <w:rPr>
          <w:sz w:val="24"/>
          <w:szCs w:val="24"/>
          <w:lang w:val="en-US"/>
        </w:rPr>
      </w:pPr>
      <w:r w:rsidRPr="00EF2B47">
        <w:rPr>
          <w:b/>
          <w:bCs/>
          <w:sz w:val="24"/>
          <w:szCs w:val="24"/>
          <w:lang w:val="en-US"/>
        </w:rPr>
        <w:t xml:space="preserve">Costs to the Agency </w:t>
      </w:r>
    </w:p>
    <w:p w14:paraId="6FF77E87" w14:textId="77777777" w:rsidR="00EF2B47" w:rsidRPr="00EF2B47" w:rsidRDefault="00EF2B47" w:rsidP="00EF2B47">
      <w:pPr>
        <w:rPr>
          <w:sz w:val="24"/>
          <w:szCs w:val="24"/>
          <w:lang w:val="en-US"/>
        </w:rPr>
      </w:pPr>
      <w:r w:rsidRPr="00EF2B47">
        <w:rPr>
          <w:sz w:val="24"/>
          <w:szCs w:val="24"/>
          <w:lang w:val="en-US"/>
        </w:rPr>
        <w:t xml:space="preserve">Program setup (once-off): $1,000 + GST </w:t>
      </w:r>
    </w:p>
    <w:p w14:paraId="04BDF02A" w14:textId="77777777" w:rsidR="00EF2B47" w:rsidRPr="00EF2B47" w:rsidRDefault="00EF2B47" w:rsidP="00EF2B47">
      <w:pPr>
        <w:rPr>
          <w:sz w:val="24"/>
          <w:szCs w:val="24"/>
          <w:lang w:val="en-US"/>
        </w:rPr>
      </w:pPr>
      <w:r w:rsidRPr="00EF2B47">
        <w:rPr>
          <w:sz w:val="24"/>
          <w:szCs w:val="24"/>
          <w:lang w:val="en-US"/>
        </w:rPr>
        <w:t xml:space="preserve">Embedded Finance Manager: $495 (+GST)per month per office </w:t>
      </w:r>
    </w:p>
    <w:p w14:paraId="05B33D20" w14:textId="77777777" w:rsidR="00EF2B47" w:rsidRPr="00EF2B47" w:rsidRDefault="00EF2B47" w:rsidP="00EF2B47">
      <w:pPr>
        <w:rPr>
          <w:sz w:val="24"/>
          <w:szCs w:val="24"/>
          <w:lang w:val="en-US"/>
        </w:rPr>
      </w:pPr>
      <w:r w:rsidRPr="00EF2B47">
        <w:rPr>
          <w:sz w:val="24"/>
          <w:szCs w:val="24"/>
          <w:lang w:val="en-US"/>
        </w:rPr>
        <w:t xml:space="preserve">Annual cost: $5,940 (+GST) p.a. </w:t>
      </w:r>
    </w:p>
    <w:p w14:paraId="483C9B23" w14:textId="77777777" w:rsidR="00EF2B47" w:rsidRPr="00EF2B47" w:rsidRDefault="00EF2B47" w:rsidP="00EF2B47">
      <w:pPr>
        <w:rPr>
          <w:sz w:val="24"/>
          <w:szCs w:val="24"/>
          <w:lang w:val="en-US"/>
        </w:rPr>
      </w:pPr>
      <w:r w:rsidRPr="00EF2B47">
        <w:rPr>
          <w:b/>
          <w:bCs/>
          <w:sz w:val="24"/>
          <w:szCs w:val="24"/>
          <w:lang w:val="en-US"/>
        </w:rPr>
        <w:t xml:space="preserve">Revenue Assumptions (Office-Wide) </w:t>
      </w:r>
    </w:p>
    <w:p w14:paraId="5818757D" w14:textId="77777777" w:rsidR="00EF2B47" w:rsidRPr="00EF2B47" w:rsidRDefault="00EF2B47" w:rsidP="00EF2B47">
      <w:pPr>
        <w:rPr>
          <w:sz w:val="24"/>
          <w:szCs w:val="24"/>
          <w:lang w:val="en-US"/>
        </w:rPr>
      </w:pPr>
      <w:r w:rsidRPr="00EF2B47">
        <w:rPr>
          <w:sz w:val="24"/>
          <w:szCs w:val="24"/>
          <w:lang w:val="en-US"/>
        </w:rPr>
        <w:t xml:space="preserve">Finance settlements per agent: 2 per month Total finance settlements per month (office): 6 Total settlements per year: 72 Total settlements over 5 years: 360 </w:t>
      </w:r>
    </w:p>
    <w:p w14:paraId="3D602C34" w14:textId="77777777" w:rsidR="00EF2B47" w:rsidRPr="00EF2B47" w:rsidRDefault="00EF2B47" w:rsidP="00EF2B47">
      <w:pPr>
        <w:rPr>
          <w:sz w:val="24"/>
          <w:szCs w:val="24"/>
          <w:lang w:val="en-US"/>
        </w:rPr>
      </w:pPr>
      <w:r w:rsidRPr="00EF2B47">
        <w:rPr>
          <w:sz w:val="24"/>
          <w:szCs w:val="24"/>
          <w:lang w:val="en-US"/>
        </w:rPr>
        <w:t xml:space="preserve">Average loan size: $700,000 Upfront commission: 0.60% Property360 – Copyright - 2026 </w:t>
      </w:r>
    </w:p>
    <w:p w14:paraId="2D8CA108" w14:textId="77777777" w:rsidR="00EF2B47" w:rsidRPr="00EF2B47" w:rsidRDefault="00EF2B47" w:rsidP="00EF2B47">
      <w:pPr>
        <w:rPr>
          <w:sz w:val="24"/>
          <w:szCs w:val="24"/>
          <w:lang w:val="en-US"/>
        </w:rPr>
      </w:pPr>
    </w:p>
    <w:p w14:paraId="070A7718" w14:textId="77777777" w:rsidR="00EF2B47" w:rsidRPr="00EF2B47" w:rsidRDefault="00EF2B47" w:rsidP="00EF2B47">
      <w:pPr>
        <w:rPr>
          <w:sz w:val="24"/>
          <w:szCs w:val="24"/>
          <w:lang w:val="en-US"/>
        </w:rPr>
      </w:pPr>
      <w:r w:rsidRPr="00EF2B47">
        <w:rPr>
          <w:sz w:val="24"/>
          <w:szCs w:val="24"/>
          <w:lang w:val="en-US"/>
        </w:rPr>
        <w:t xml:space="preserve">Trail commission: 0.15% p.a. Agency share: 30% upfront, 50% trail </w:t>
      </w:r>
    </w:p>
    <w:p w14:paraId="37877643" w14:textId="77777777" w:rsidR="00EF2B47" w:rsidRPr="00EF2B47" w:rsidRDefault="00EF2B47" w:rsidP="00EF2B47">
      <w:pPr>
        <w:rPr>
          <w:sz w:val="24"/>
          <w:szCs w:val="24"/>
          <w:lang w:val="en-US"/>
        </w:rPr>
      </w:pPr>
      <w:r w:rsidRPr="00EF2B47">
        <w:rPr>
          <w:b/>
          <w:bCs/>
          <w:sz w:val="24"/>
          <w:szCs w:val="24"/>
          <w:lang w:val="en-US"/>
        </w:rPr>
        <w:t xml:space="preserve">Agency Income – Per Deal (Same as Original Model) </w:t>
      </w:r>
    </w:p>
    <w:p w14:paraId="62D0B810" w14:textId="77777777" w:rsidR="00EF2B47" w:rsidRPr="00EF2B47" w:rsidRDefault="00EF2B47" w:rsidP="00EF2B47">
      <w:pPr>
        <w:rPr>
          <w:sz w:val="24"/>
          <w:szCs w:val="24"/>
          <w:lang w:val="en-US"/>
        </w:rPr>
      </w:pPr>
      <w:r w:rsidRPr="00EF2B47">
        <w:rPr>
          <w:sz w:val="24"/>
          <w:szCs w:val="24"/>
          <w:lang w:val="en-US"/>
        </w:rPr>
        <w:t xml:space="preserve">Upfront (agency share): $700,000 × 0.60% × 30% = </w:t>
      </w:r>
      <w:r w:rsidRPr="00EF2B47">
        <w:rPr>
          <w:b/>
          <w:bCs/>
          <w:sz w:val="24"/>
          <w:szCs w:val="24"/>
          <w:lang w:val="en-US"/>
        </w:rPr>
        <w:t xml:space="preserve">$1,260 </w:t>
      </w:r>
    </w:p>
    <w:p w14:paraId="7C3221D7" w14:textId="77777777" w:rsidR="00EF2B47" w:rsidRPr="00EF2B47" w:rsidRDefault="00EF2B47" w:rsidP="00EF2B47">
      <w:pPr>
        <w:rPr>
          <w:sz w:val="24"/>
          <w:szCs w:val="24"/>
          <w:lang w:val="en-US"/>
        </w:rPr>
      </w:pPr>
      <w:r w:rsidRPr="00EF2B47">
        <w:rPr>
          <w:sz w:val="24"/>
          <w:szCs w:val="24"/>
          <w:lang w:val="en-US"/>
        </w:rPr>
        <w:t xml:space="preserve">Annual trail (agency share): $700,000 × 0.15% × 50% = </w:t>
      </w:r>
      <w:r w:rsidRPr="00EF2B47">
        <w:rPr>
          <w:b/>
          <w:bCs/>
          <w:sz w:val="24"/>
          <w:szCs w:val="24"/>
          <w:lang w:val="en-US"/>
        </w:rPr>
        <w:t xml:space="preserve">$525 p.a. </w:t>
      </w:r>
    </w:p>
    <w:p w14:paraId="53DD0150" w14:textId="77777777" w:rsidR="00EF2B47" w:rsidRDefault="00EF2B47" w:rsidP="00EF2B47">
      <w:pPr>
        <w:rPr>
          <w:b/>
          <w:bCs/>
          <w:sz w:val="24"/>
          <w:szCs w:val="24"/>
          <w:lang w:val="en-US"/>
        </w:rPr>
      </w:pPr>
    </w:p>
    <w:p w14:paraId="63C61BE4" w14:textId="77777777" w:rsidR="00EF2B47" w:rsidRDefault="00EF2B47" w:rsidP="00EF2B47">
      <w:pPr>
        <w:rPr>
          <w:b/>
          <w:bCs/>
          <w:sz w:val="24"/>
          <w:szCs w:val="24"/>
          <w:lang w:val="en-US"/>
        </w:rPr>
      </w:pPr>
    </w:p>
    <w:p w14:paraId="358EDECD" w14:textId="77777777" w:rsidR="00EF2B47" w:rsidRDefault="00EF2B47" w:rsidP="00EF2B47">
      <w:pPr>
        <w:rPr>
          <w:b/>
          <w:bCs/>
          <w:sz w:val="24"/>
          <w:szCs w:val="24"/>
          <w:lang w:val="en-US"/>
        </w:rPr>
      </w:pPr>
    </w:p>
    <w:p w14:paraId="1732EEB3" w14:textId="77777777" w:rsidR="00EF2B47" w:rsidRDefault="00EF2B47" w:rsidP="00EF2B47">
      <w:pPr>
        <w:rPr>
          <w:b/>
          <w:bCs/>
          <w:sz w:val="24"/>
          <w:szCs w:val="24"/>
          <w:lang w:val="en-US"/>
        </w:rPr>
      </w:pPr>
    </w:p>
    <w:p w14:paraId="3A1E0682" w14:textId="77777777" w:rsidR="00EF2B47" w:rsidRDefault="00EF2B47" w:rsidP="00EF2B47">
      <w:pPr>
        <w:rPr>
          <w:b/>
          <w:bCs/>
          <w:sz w:val="24"/>
          <w:szCs w:val="24"/>
          <w:lang w:val="en-US"/>
        </w:rPr>
      </w:pPr>
    </w:p>
    <w:p w14:paraId="7BCA52C5" w14:textId="77777777" w:rsidR="00EF2B47" w:rsidRDefault="00EF2B47" w:rsidP="00EF2B47">
      <w:pPr>
        <w:rPr>
          <w:b/>
          <w:bCs/>
          <w:sz w:val="24"/>
          <w:szCs w:val="24"/>
          <w:lang w:val="en-US"/>
        </w:rPr>
      </w:pPr>
    </w:p>
    <w:p w14:paraId="2A4921C1" w14:textId="5E0EE093" w:rsidR="00EF2B47" w:rsidRPr="00EF2B47" w:rsidRDefault="00EF2B47" w:rsidP="00EF2B47">
      <w:pPr>
        <w:rPr>
          <w:sz w:val="24"/>
          <w:szCs w:val="24"/>
          <w:lang w:val="en-US"/>
        </w:rPr>
      </w:pPr>
      <w:r w:rsidRPr="00EF2B47">
        <w:rPr>
          <w:b/>
          <w:bCs/>
          <w:sz w:val="24"/>
          <w:szCs w:val="24"/>
          <w:lang w:val="en-US"/>
        </w:rPr>
        <w:t xml:space="preserve">Income Over 5 Years (Office-Wide) </w:t>
      </w:r>
    </w:p>
    <w:p w14:paraId="52A0AB46" w14:textId="77777777" w:rsidR="00EF2B47" w:rsidRPr="00EF2B47" w:rsidRDefault="00EF2B47" w:rsidP="00EF2B47">
      <w:pPr>
        <w:rPr>
          <w:sz w:val="24"/>
          <w:szCs w:val="24"/>
          <w:lang w:val="en-US"/>
        </w:rPr>
      </w:pPr>
      <w:r w:rsidRPr="00EF2B47">
        <w:rPr>
          <w:b/>
          <w:bCs/>
          <w:sz w:val="24"/>
          <w:szCs w:val="24"/>
          <w:lang w:val="en-US"/>
        </w:rPr>
        <w:t xml:space="preserve">Upfront Commissions </w:t>
      </w:r>
    </w:p>
    <w:p w14:paraId="78D7852D" w14:textId="77777777" w:rsidR="00EF2B47" w:rsidRPr="00EF2B47" w:rsidRDefault="00EF2B47" w:rsidP="00EF2B47">
      <w:pPr>
        <w:rPr>
          <w:sz w:val="24"/>
          <w:szCs w:val="24"/>
          <w:lang w:val="en-US"/>
        </w:rPr>
      </w:pPr>
      <w:r w:rsidRPr="00EF2B47">
        <w:rPr>
          <w:sz w:val="24"/>
          <w:szCs w:val="24"/>
          <w:lang w:val="en-US"/>
        </w:rPr>
        <w:t xml:space="preserve">360 loans × $1,260 = </w:t>
      </w:r>
      <w:r w:rsidRPr="00EF2B47">
        <w:rPr>
          <w:b/>
          <w:bCs/>
          <w:sz w:val="24"/>
          <w:szCs w:val="24"/>
          <w:lang w:val="en-US"/>
        </w:rPr>
        <w:t xml:space="preserve">$453,600 </w:t>
      </w:r>
    </w:p>
    <w:p w14:paraId="7F1D0D00" w14:textId="77777777" w:rsidR="00EF2B47" w:rsidRPr="00EF2B47" w:rsidRDefault="00EF2B47" w:rsidP="00EF2B47">
      <w:pPr>
        <w:rPr>
          <w:sz w:val="24"/>
          <w:szCs w:val="24"/>
          <w:lang w:val="en-US"/>
        </w:rPr>
      </w:pPr>
      <w:r w:rsidRPr="00EF2B47">
        <w:rPr>
          <w:b/>
          <w:bCs/>
          <w:sz w:val="24"/>
          <w:szCs w:val="24"/>
          <w:lang w:val="en-US"/>
        </w:rPr>
        <w:t xml:space="preserve">Trail Commissions (Cumulative) </w:t>
      </w:r>
    </w:p>
    <w:p w14:paraId="1888AA5F" w14:textId="77777777" w:rsidR="00EF2B47" w:rsidRPr="00EF2B47" w:rsidRDefault="00EF2B47" w:rsidP="00EF2B47">
      <w:pPr>
        <w:rPr>
          <w:sz w:val="24"/>
          <w:szCs w:val="24"/>
          <w:lang w:val="en-US"/>
        </w:rPr>
      </w:pPr>
      <w:r w:rsidRPr="00EF2B47">
        <w:rPr>
          <w:sz w:val="24"/>
          <w:szCs w:val="24"/>
          <w:lang w:val="en-US"/>
        </w:rPr>
        <w:t xml:space="preserve">Total trail earned over 5 years: </w:t>
      </w:r>
      <w:r w:rsidRPr="00EF2B47">
        <w:rPr>
          <w:b/>
          <w:bCs/>
          <w:sz w:val="24"/>
          <w:szCs w:val="24"/>
          <w:lang w:val="en-US"/>
        </w:rPr>
        <w:t xml:space="preserve">$567,000 </w:t>
      </w:r>
    </w:p>
    <w:p w14:paraId="4DFCAB3E" w14:textId="77777777" w:rsidR="00EF2B47" w:rsidRPr="00EF2B47" w:rsidRDefault="00EF2B47" w:rsidP="00EF2B47">
      <w:pPr>
        <w:rPr>
          <w:sz w:val="24"/>
          <w:szCs w:val="24"/>
          <w:lang w:val="en-US"/>
        </w:rPr>
      </w:pPr>
      <w:r w:rsidRPr="00EF2B47">
        <w:rPr>
          <w:b/>
          <w:bCs/>
          <w:sz w:val="24"/>
          <w:szCs w:val="24"/>
          <w:lang w:val="en-US"/>
        </w:rPr>
        <w:t xml:space="preserve">Total Agency Earnings (5 Years) </w:t>
      </w:r>
    </w:p>
    <w:p w14:paraId="71425438" w14:textId="77777777" w:rsidR="00EF2B47" w:rsidRPr="00EF2B47" w:rsidRDefault="00EF2B47" w:rsidP="00EF2B47">
      <w:pPr>
        <w:rPr>
          <w:sz w:val="24"/>
          <w:szCs w:val="24"/>
          <w:lang w:val="en-US"/>
        </w:rPr>
      </w:pPr>
      <w:r w:rsidRPr="00EF2B47">
        <w:rPr>
          <w:sz w:val="24"/>
          <w:szCs w:val="24"/>
          <w:lang w:val="en-US"/>
        </w:rPr>
        <w:t xml:space="preserve">Upfront commissions: $453,600 Trail commissions: $567,000 </w:t>
      </w:r>
    </w:p>
    <w:p w14:paraId="18A5DB5D" w14:textId="77777777" w:rsidR="00EF2B47" w:rsidRPr="00EF2B47" w:rsidRDefault="00EF2B47" w:rsidP="00EF2B47">
      <w:pPr>
        <w:rPr>
          <w:sz w:val="24"/>
          <w:szCs w:val="24"/>
          <w:lang w:val="en-US"/>
        </w:rPr>
      </w:pPr>
      <w:r w:rsidRPr="00EF2B47">
        <w:rPr>
          <w:b/>
          <w:bCs/>
          <w:sz w:val="24"/>
          <w:szCs w:val="24"/>
          <w:lang w:val="en-US"/>
        </w:rPr>
        <w:t xml:space="preserve">Total commissions earned: </w:t>
      </w:r>
      <w:r w:rsidRPr="00EF2B47">
        <w:rPr>
          <w:sz w:val="24"/>
          <w:szCs w:val="24"/>
          <w:lang w:val="en-US"/>
        </w:rPr>
        <w:t xml:space="preserve">$1,020,600 </w:t>
      </w:r>
    </w:p>
    <w:p w14:paraId="2DDD2B5E" w14:textId="77777777" w:rsidR="00EF2B47" w:rsidRPr="00EF2B47" w:rsidRDefault="00EF2B47" w:rsidP="00EF2B47">
      <w:pPr>
        <w:rPr>
          <w:sz w:val="24"/>
          <w:szCs w:val="24"/>
          <w:lang w:val="en-US"/>
        </w:rPr>
      </w:pPr>
      <w:r w:rsidRPr="00EF2B47">
        <w:rPr>
          <w:b/>
          <w:bCs/>
          <w:sz w:val="24"/>
          <w:szCs w:val="24"/>
          <w:lang w:val="en-US"/>
        </w:rPr>
        <w:t xml:space="preserve">Less Property360 Costs </w:t>
      </w:r>
    </w:p>
    <w:p w14:paraId="18D591EA" w14:textId="77777777" w:rsidR="00EF2B47" w:rsidRPr="00EF2B47" w:rsidRDefault="00EF2B47" w:rsidP="00EF2B47">
      <w:pPr>
        <w:rPr>
          <w:sz w:val="24"/>
          <w:szCs w:val="24"/>
          <w:lang w:val="en-US"/>
        </w:rPr>
      </w:pPr>
      <w:r w:rsidRPr="00EF2B47">
        <w:rPr>
          <w:sz w:val="24"/>
          <w:szCs w:val="24"/>
          <w:lang w:val="en-US"/>
        </w:rPr>
        <w:t xml:space="preserve">Finance Manager cost (5 years): $5,940 × 5 = $29,700 </w:t>
      </w:r>
    </w:p>
    <w:p w14:paraId="544B6C8A" w14:textId="77777777" w:rsidR="00EF2B47" w:rsidRPr="00EF2B47" w:rsidRDefault="00EF2B47" w:rsidP="00EF2B47">
      <w:pPr>
        <w:rPr>
          <w:sz w:val="24"/>
          <w:szCs w:val="24"/>
          <w:lang w:val="en-US"/>
        </w:rPr>
      </w:pPr>
      <w:r w:rsidRPr="00EF2B47">
        <w:rPr>
          <w:sz w:val="24"/>
          <w:szCs w:val="24"/>
          <w:lang w:val="en-US"/>
        </w:rPr>
        <w:t xml:space="preserve">Program setup: $1,000 </w:t>
      </w:r>
    </w:p>
    <w:p w14:paraId="6C8FBC40" w14:textId="77777777" w:rsidR="00EF2B47" w:rsidRPr="00EF2B47" w:rsidRDefault="00EF2B47" w:rsidP="00EF2B47">
      <w:pPr>
        <w:rPr>
          <w:sz w:val="24"/>
          <w:szCs w:val="24"/>
          <w:lang w:val="en-US"/>
        </w:rPr>
      </w:pPr>
      <w:r w:rsidRPr="00EF2B47">
        <w:rPr>
          <w:b/>
          <w:bCs/>
          <w:sz w:val="24"/>
          <w:szCs w:val="24"/>
          <w:lang w:val="en-US"/>
        </w:rPr>
        <w:t xml:space="preserve">Total costs: </w:t>
      </w:r>
      <w:r w:rsidRPr="00EF2B47">
        <w:rPr>
          <w:sz w:val="24"/>
          <w:szCs w:val="24"/>
          <w:lang w:val="en-US"/>
        </w:rPr>
        <w:t xml:space="preserve">$30,700 </w:t>
      </w:r>
    </w:p>
    <w:p w14:paraId="6135E673" w14:textId="77777777" w:rsidR="00EF2B47" w:rsidRPr="00EF2B47" w:rsidRDefault="00EF2B47" w:rsidP="00EF2B47">
      <w:pPr>
        <w:rPr>
          <w:sz w:val="24"/>
          <w:szCs w:val="24"/>
          <w:lang w:val="en-US"/>
        </w:rPr>
      </w:pPr>
      <w:r w:rsidRPr="00EF2B47">
        <w:rPr>
          <w:b/>
          <w:bCs/>
          <w:sz w:val="24"/>
          <w:szCs w:val="24"/>
          <w:lang w:val="en-US"/>
        </w:rPr>
        <w:t xml:space="preserve">Net Cash Benefit to Agency (5 Years) </w:t>
      </w:r>
    </w:p>
    <w:p w14:paraId="6BD6A5B6" w14:textId="77777777" w:rsidR="00EF2B47" w:rsidRPr="00EF2B47" w:rsidRDefault="00EF2B47" w:rsidP="00EF2B47">
      <w:pPr>
        <w:rPr>
          <w:sz w:val="24"/>
          <w:szCs w:val="24"/>
          <w:lang w:val="en-US"/>
        </w:rPr>
      </w:pPr>
      <w:r w:rsidRPr="00EF2B47">
        <w:rPr>
          <w:b/>
          <w:bCs/>
          <w:sz w:val="24"/>
          <w:szCs w:val="24"/>
          <w:lang w:val="en-US"/>
        </w:rPr>
        <w:t xml:space="preserve">$990,900 over 5 years </w:t>
      </w:r>
    </w:p>
    <w:p w14:paraId="24A03273" w14:textId="77777777" w:rsidR="00EF2B47" w:rsidRPr="00EF2B47" w:rsidRDefault="00EF2B47" w:rsidP="00EF2B47">
      <w:pPr>
        <w:rPr>
          <w:sz w:val="24"/>
          <w:szCs w:val="24"/>
          <w:lang w:val="en-US"/>
        </w:rPr>
      </w:pPr>
      <w:r w:rsidRPr="00EF2B47">
        <w:rPr>
          <w:b/>
          <w:bCs/>
          <w:sz w:val="24"/>
          <w:szCs w:val="24"/>
          <w:lang w:val="en-US"/>
        </w:rPr>
        <w:t xml:space="preserve">Value of the Finance Arm at Year 5 </w:t>
      </w:r>
    </w:p>
    <w:p w14:paraId="30BC3F05" w14:textId="77777777" w:rsidR="00EF2B47" w:rsidRPr="00EF2B47" w:rsidRDefault="00EF2B47" w:rsidP="00EF2B47">
      <w:pPr>
        <w:rPr>
          <w:sz w:val="24"/>
          <w:szCs w:val="24"/>
          <w:lang w:val="en-US"/>
        </w:rPr>
      </w:pPr>
      <w:r w:rsidRPr="00EF2B47">
        <w:rPr>
          <w:sz w:val="24"/>
          <w:szCs w:val="24"/>
          <w:lang w:val="en-US"/>
        </w:rPr>
        <w:t xml:space="preserve">Active loans: 360 </w:t>
      </w:r>
    </w:p>
    <w:p w14:paraId="40CA631B" w14:textId="77777777" w:rsidR="00EF2B47" w:rsidRPr="00EF2B47" w:rsidRDefault="00EF2B47" w:rsidP="00EF2B47">
      <w:pPr>
        <w:rPr>
          <w:sz w:val="24"/>
          <w:szCs w:val="24"/>
          <w:lang w:val="en-US"/>
        </w:rPr>
      </w:pPr>
      <w:r w:rsidRPr="00EF2B47">
        <w:rPr>
          <w:sz w:val="24"/>
          <w:szCs w:val="24"/>
          <w:lang w:val="en-US"/>
        </w:rPr>
        <w:t xml:space="preserve">Annual trail income at year 5: 360 × $525 = </w:t>
      </w:r>
      <w:r w:rsidRPr="00EF2B47">
        <w:rPr>
          <w:b/>
          <w:bCs/>
          <w:sz w:val="24"/>
          <w:szCs w:val="24"/>
          <w:lang w:val="en-US"/>
        </w:rPr>
        <w:t xml:space="preserve">$189,000 p.a. </w:t>
      </w:r>
      <w:r w:rsidRPr="00EF2B47">
        <w:rPr>
          <w:sz w:val="24"/>
          <w:szCs w:val="24"/>
          <w:lang w:val="en-US"/>
        </w:rPr>
        <w:t xml:space="preserve">Property360 – Copyright - 2026 </w:t>
      </w:r>
    </w:p>
    <w:p w14:paraId="2F48D6CE" w14:textId="77777777" w:rsidR="00EF2B47" w:rsidRPr="00EF2B47" w:rsidRDefault="00EF2B47" w:rsidP="00EF2B47">
      <w:pPr>
        <w:rPr>
          <w:sz w:val="24"/>
          <w:szCs w:val="24"/>
          <w:lang w:val="en-US"/>
        </w:rPr>
      </w:pPr>
    </w:p>
    <w:p w14:paraId="18656811" w14:textId="77777777" w:rsidR="00EF2B47" w:rsidRPr="00EF2B47" w:rsidRDefault="00EF2B47" w:rsidP="00EF2B47">
      <w:pPr>
        <w:rPr>
          <w:sz w:val="24"/>
          <w:szCs w:val="24"/>
          <w:lang w:val="en-US"/>
        </w:rPr>
      </w:pPr>
      <w:r w:rsidRPr="00EF2B47">
        <w:rPr>
          <w:b/>
          <w:bCs/>
          <w:sz w:val="24"/>
          <w:szCs w:val="24"/>
          <w:lang w:val="en-US"/>
        </w:rPr>
        <w:t xml:space="preserve">Indicative Business Valuation – Trail Book Component </w:t>
      </w:r>
    </w:p>
    <w:p w14:paraId="055615BE" w14:textId="77777777" w:rsidR="00EF2B47" w:rsidRPr="00EF2B47" w:rsidRDefault="00EF2B47" w:rsidP="00EF2B47">
      <w:pPr>
        <w:rPr>
          <w:sz w:val="24"/>
          <w:szCs w:val="24"/>
          <w:lang w:val="en-US"/>
        </w:rPr>
      </w:pPr>
      <w:r w:rsidRPr="00EF2B47">
        <w:rPr>
          <w:sz w:val="24"/>
          <w:szCs w:val="24"/>
          <w:lang w:val="en-US"/>
        </w:rPr>
        <w:t xml:space="preserve">4× trail = </w:t>
      </w:r>
      <w:r w:rsidRPr="00EF2B47">
        <w:rPr>
          <w:b/>
          <w:bCs/>
          <w:sz w:val="24"/>
          <w:szCs w:val="24"/>
          <w:lang w:val="en-US"/>
        </w:rPr>
        <w:t xml:space="preserve">$756,000 </w:t>
      </w:r>
      <w:r w:rsidRPr="00EF2B47">
        <w:rPr>
          <w:sz w:val="24"/>
          <w:szCs w:val="24"/>
          <w:lang w:val="en-US"/>
        </w:rPr>
        <w:t xml:space="preserve">5× trail = </w:t>
      </w:r>
      <w:r w:rsidRPr="00EF2B47">
        <w:rPr>
          <w:b/>
          <w:bCs/>
          <w:sz w:val="24"/>
          <w:szCs w:val="24"/>
          <w:lang w:val="en-US"/>
        </w:rPr>
        <w:t xml:space="preserve">$945,000 </w:t>
      </w:r>
    </w:p>
    <w:p w14:paraId="528CCB07" w14:textId="77777777" w:rsidR="00EF2B47" w:rsidRPr="00EF2B47" w:rsidRDefault="00EF2B47" w:rsidP="00EF2B47">
      <w:pPr>
        <w:rPr>
          <w:sz w:val="24"/>
          <w:szCs w:val="24"/>
          <w:lang w:val="en-US"/>
        </w:rPr>
      </w:pPr>
      <w:r w:rsidRPr="00EF2B47">
        <w:rPr>
          <w:i/>
          <w:iCs/>
          <w:sz w:val="24"/>
          <w:szCs w:val="24"/>
          <w:lang w:val="en-US"/>
        </w:rPr>
        <w:t xml:space="preserve">(This value is in addition to the $1,020,600 already earned in commissions.) </w:t>
      </w:r>
    </w:p>
    <w:p w14:paraId="7E559D70" w14:textId="77777777" w:rsidR="00EF2B47" w:rsidRPr="00EF2B47" w:rsidRDefault="00EF2B47" w:rsidP="00EF2B47">
      <w:pPr>
        <w:rPr>
          <w:sz w:val="24"/>
          <w:szCs w:val="24"/>
          <w:lang w:val="en-US"/>
        </w:rPr>
      </w:pPr>
      <w:r w:rsidRPr="00EF2B47">
        <w:rPr>
          <w:b/>
          <w:bCs/>
          <w:sz w:val="24"/>
          <w:szCs w:val="24"/>
          <w:lang w:val="en-US"/>
        </w:rPr>
        <w:t xml:space="preserve">Finance Arm Valuation (Business Value – Excluding Trail) </w:t>
      </w:r>
    </w:p>
    <w:p w14:paraId="3585BFFC" w14:textId="0BE91984" w:rsidR="00EF2B47" w:rsidRPr="00EF2B47" w:rsidRDefault="00EF2B47" w:rsidP="00EF2B47">
      <w:pPr>
        <w:rPr>
          <w:sz w:val="24"/>
          <w:szCs w:val="24"/>
          <w:lang w:val="en-US"/>
        </w:rPr>
      </w:pPr>
      <w:r w:rsidRPr="00EF2B47">
        <w:rPr>
          <w:sz w:val="24"/>
          <w:szCs w:val="24"/>
          <w:lang w:val="en-US"/>
        </w:rPr>
        <w:t xml:space="preserve">By year 5, the agency operates as a </w:t>
      </w:r>
      <w:r w:rsidRPr="00EF2B47">
        <w:rPr>
          <w:sz w:val="24"/>
          <w:szCs w:val="24"/>
          <w:lang w:val="en-US"/>
        </w:rPr>
        <w:t>systemized</w:t>
      </w:r>
      <w:r w:rsidRPr="00EF2B47">
        <w:rPr>
          <w:sz w:val="24"/>
          <w:szCs w:val="24"/>
          <w:lang w:val="en-US"/>
        </w:rPr>
        <w:t xml:space="preserve">, multi-agent, compliant business with: </w:t>
      </w:r>
    </w:p>
    <w:p w14:paraId="6722E868" w14:textId="77777777" w:rsidR="00EF2B47" w:rsidRPr="00EF2B47" w:rsidRDefault="00EF2B47" w:rsidP="00EF2B47">
      <w:pPr>
        <w:numPr>
          <w:ilvl w:val="0"/>
          <w:numId w:val="34"/>
        </w:numPr>
        <w:rPr>
          <w:sz w:val="24"/>
          <w:szCs w:val="24"/>
          <w:lang w:val="en-US"/>
        </w:rPr>
      </w:pPr>
      <w:r w:rsidRPr="00EF2B47">
        <w:rPr>
          <w:sz w:val="24"/>
          <w:szCs w:val="24"/>
          <w:lang w:val="en-US"/>
        </w:rPr>
        <w:t xml:space="preserve">Embedded Finance Manager </w:t>
      </w:r>
    </w:p>
    <w:p w14:paraId="413AD105" w14:textId="77777777" w:rsidR="00EF2B47" w:rsidRPr="00EF2B47" w:rsidRDefault="00EF2B47" w:rsidP="00EF2B47">
      <w:pPr>
        <w:numPr>
          <w:ilvl w:val="0"/>
          <w:numId w:val="34"/>
        </w:numPr>
        <w:rPr>
          <w:sz w:val="24"/>
          <w:szCs w:val="24"/>
          <w:lang w:val="en-US"/>
        </w:rPr>
      </w:pPr>
      <w:r w:rsidRPr="00EF2B47">
        <w:rPr>
          <w:sz w:val="24"/>
          <w:szCs w:val="24"/>
          <w:lang w:val="en-US"/>
        </w:rPr>
        <w:t xml:space="preserve">Office-wide AML/CTF compliance framework </w:t>
      </w:r>
    </w:p>
    <w:p w14:paraId="08719499" w14:textId="77777777" w:rsidR="00EF2B47" w:rsidRPr="00EF2B47" w:rsidRDefault="00EF2B47" w:rsidP="00EF2B47">
      <w:pPr>
        <w:numPr>
          <w:ilvl w:val="0"/>
          <w:numId w:val="34"/>
        </w:numPr>
        <w:rPr>
          <w:sz w:val="24"/>
          <w:szCs w:val="24"/>
          <w:lang w:val="en-US"/>
        </w:rPr>
      </w:pPr>
      <w:r w:rsidRPr="00EF2B47">
        <w:rPr>
          <w:sz w:val="24"/>
          <w:szCs w:val="24"/>
          <w:lang w:val="en-US"/>
        </w:rPr>
        <w:t xml:space="preserve">6 finance settlements per month </w:t>
      </w:r>
    </w:p>
    <w:p w14:paraId="085E54A7" w14:textId="77777777" w:rsidR="00EF2B47" w:rsidRDefault="00EF2B47" w:rsidP="00EF2B47">
      <w:pPr>
        <w:numPr>
          <w:ilvl w:val="0"/>
          <w:numId w:val="34"/>
        </w:numPr>
        <w:rPr>
          <w:sz w:val="24"/>
          <w:szCs w:val="24"/>
          <w:lang w:val="en-US"/>
        </w:rPr>
      </w:pPr>
      <w:r w:rsidRPr="00EF2B47">
        <w:rPr>
          <w:sz w:val="24"/>
          <w:szCs w:val="24"/>
          <w:lang w:val="en-US"/>
        </w:rPr>
        <w:t xml:space="preserve">Multi-agent adoption and governance </w:t>
      </w:r>
    </w:p>
    <w:p w14:paraId="086A14FB" w14:textId="77777777" w:rsidR="00EF2B47" w:rsidRPr="00EF2B47" w:rsidRDefault="00EF2B47" w:rsidP="00EF2B47">
      <w:pPr>
        <w:rPr>
          <w:sz w:val="24"/>
          <w:szCs w:val="24"/>
          <w:lang w:val="en-US"/>
        </w:rPr>
      </w:pPr>
    </w:p>
    <w:p w14:paraId="25E23E72" w14:textId="63E73820" w:rsidR="00EF2B47" w:rsidRPr="00EF2B47" w:rsidRDefault="00EF2B47" w:rsidP="00EF2B47">
      <w:pPr>
        <w:numPr>
          <w:ilvl w:val="0"/>
          <w:numId w:val="34"/>
        </w:numPr>
        <w:rPr>
          <w:sz w:val="24"/>
          <w:szCs w:val="24"/>
          <w:lang w:val="en-US"/>
        </w:rPr>
      </w:pPr>
      <w:r w:rsidRPr="00EF2B47">
        <w:rPr>
          <w:sz w:val="24"/>
          <w:szCs w:val="24"/>
          <w:lang w:val="en-US"/>
        </w:rPr>
        <w:t>Centralized</w:t>
      </w:r>
      <w:r w:rsidRPr="00EF2B47">
        <w:rPr>
          <w:sz w:val="24"/>
          <w:szCs w:val="24"/>
          <w:lang w:val="en-US"/>
        </w:rPr>
        <w:t xml:space="preserve"> client database </w:t>
      </w:r>
    </w:p>
    <w:p w14:paraId="73826298" w14:textId="77777777" w:rsidR="00EF2B47" w:rsidRPr="00EF2B47" w:rsidRDefault="00EF2B47" w:rsidP="00EF2B47">
      <w:pPr>
        <w:numPr>
          <w:ilvl w:val="0"/>
          <w:numId w:val="34"/>
        </w:numPr>
        <w:rPr>
          <w:sz w:val="24"/>
          <w:szCs w:val="24"/>
          <w:lang w:val="en-US"/>
        </w:rPr>
      </w:pPr>
      <w:r w:rsidRPr="00EF2B47">
        <w:rPr>
          <w:sz w:val="24"/>
          <w:szCs w:val="24"/>
          <w:lang w:val="en-US"/>
        </w:rPr>
        <w:t xml:space="preserve">Documented systems and reporting </w:t>
      </w:r>
    </w:p>
    <w:p w14:paraId="6C0D507C" w14:textId="77777777" w:rsidR="00EF2B47" w:rsidRPr="00EF2B47" w:rsidRDefault="00EF2B47" w:rsidP="00EF2B47">
      <w:pPr>
        <w:numPr>
          <w:ilvl w:val="0"/>
          <w:numId w:val="34"/>
        </w:numPr>
        <w:rPr>
          <w:sz w:val="24"/>
          <w:szCs w:val="24"/>
          <w:lang w:val="en-US"/>
        </w:rPr>
      </w:pPr>
      <w:r w:rsidRPr="00EF2B47">
        <w:rPr>
          <w:sz w:val="24"/>
          <w:szCs w:val="24"/>
          <w:lang w:val="en-US"/>
        </w:rPr>
        <w:t xml:space="preserve">Predictable recurring income </w:t>
      </w:r>
    </w:p>
    <w:p w14:paraId="55D59B35" w14:textId="77777777" w:rsidR="00EF2B47" w:rsidRPr="00EF2B47" w:rsidRDefault="00EF2B47" w:rsidP="00EF2B47">
      <w:pPr>
        <w:rPr>
          <w:sz w:val="24"/>
          <w:szCs w:val="24"/>
          <w:lang w:val="en-US"/>
        </w:rPr>
      </w:pPr>
    </w:p>
    <w:p w14:paraId="7EB02B53" w14:textId="77777777" w:rsidR="00EF2B47" w:rsidRPr="00EF2B47" w:rsidRDefault="00EF2B47" w:rsidP="00EF2B47">
      <w:pPr>
        <w:rPr>
          <w:sz w:val="24"/>
          <w:szCs w:val="24"/>
          <w:lang w:val="en-US"/>
        </w:rPr>
      </w:pPr>
      <w:r w:rsidRPr="00EF2B47">
        <w:rPr>
          <w:b/>
          <w:bCs/>
          <w:sz w:val="24"/>
          <w:szCs w:val="24"/>
          <w:lang w:val="en-US"/>
        </w:rPr>
        <w:t xml:space="preserve">Maintainable Annual Earnings (Conservative) </w:t>
      </w:r>
    </w:p>
    <w:p w14:paraId="477AFEA5" w14:textId="4CE7C2BB" w:rsidR="00EF2B47" w:rsidRPr="00EF2B47" w:rsidRDefault="00EF2B47" w:rsidP="00EF2B47">
      <w:pPr>
        <w:rPr>
          <w:sz w:val="24"/>
          <w:szCs w:val="24"/>
          <w:lang w:val="en-US"/>
        </w:rPr>
      </w:pPr>
      <w:r w:rsidRPr="00EF2B47">
        <w:rPr>
          <w:sz w:val="24"/>
          <w:szCs w:val="24"/>
          <w:lang w:val="en-US"/>
        </w:rPr>
        <w:t>Annual trail income at year 5: $189,000 Average annual upfront income (</w:t>
      </w:r>
      <w:r w:rsidRPr="00EF2B47">
        <w:rPr>
          <w:sz w:val="24"/>
          <w:szCs w:val="24"/>
          <w:lang w:val="en-US"/>
        </w:rPr>
        <w:t>stabilized</w:t>
      </w:r>
      <w:r w:rsidRPr="00EF2B47">
        <w:rPr>
          <w:sz w:val="24"/>
          <w:szCs w:val="24"/>
          <w:lang w:val="en-US"/>
        </w:rPr>
        <w:t xml:space="preserve">): $453,600 ÷ 5 = $90,720 </w:t>
      </w:r>
    </w:p>
    <w:p w14:paraId="5487E492" w14:textId="77777777" w:rsidR="00EF2B47" w:rsidRPr="00EF2B47" w:rsidRDefault="00EF2B47" w:rsidP="00EF2B47">
      <w:pPr>
        <w:rPr>
          <w:sz w:val="24"/>
          <w:szCs w:val="24"/>
          <w:lang w:val="en-US"/>
        </w:rPr>
      </w:pPr>
      <w:r w:rsidRPr="00EF2B47">
        <w:rPr>
          <w:sz w:val="24"/>
          <w:szCs w:val="24"/>
          <w:lang w:val="en-US"/>
        </w:rPr>
        <w:t xml:space="preserve">Total annual gross finance income: </w:t>
      </w:r>
      <w:r w:rsidRPr="00EF2B47">
        <w:rPr>
          <w:b/>
          <w:bCs/>
          <w:sz w:val="24"/>
          <w:szCs w:val="24"/>
          <w:lang w:val="en-US"/>
        </w:rPr>
        <w:t xml:space="preserve">~$279,700 </w:t>
      </w:r>
    </w:p>
    <w:p w14:paraId="7C588CB4" w14:textId="77777777" w:rsidR="00EF2B47" w:rsidRPr="00EF2B47" w:rsidRDefault="00EF2B47" w:rsidP="00EF2B47">
      <w:pPr>
        <w:rPr>
          <w:sz w:val="24"/>
          <w:szCs w:val="24"/>
          <w:lang w:val="en-US"/>
        </w:rPr>
      </w:pPr>
      <w:r w:rsidRPr="00EF2B47">
        <w:rPr>
          <w:sz w:val="24"/>
          <w:szCs w:val="24"/>
          <w:lang w:val="en-US"/>
        </w:rPr>
        <w:t xml:space="preserve">Less ongoing Property360 cost: Finance Manager fee: $5,940 p.a. </w:t>
      </w:r>
    </w:p>
    <w:p w14:paraId="6C1AC329" w14:textId="77777777" w:rsidR="00EF2B47" w:rsidRPr="00EF2B47" w:rsidRDefault="00EF2B47" w:rsidP="00EF2B47">
      <w:pPr>
        <w:rPr>
          <w:sz w:val="24"/>
          <w:szCs w:val="24"/>
          <w:lang w:val="en-US"/>
        </w:rPr>
      </w:pPr>
      <w:r w:rsidRPr="00EF2B47">
        <w:rPr>
          <w:b/>
          <w:bCs/>
          <w:sz w:val="24"/>
          <w:szCs w:val="24"/>
          <w:lang w:val="en-US"/>
        </w:rPr>
        <w:t xml:space="preserve">Maintainable EBITDA (rounded): ~ $273,760 p.a. </w:t>
      </w:r>
    </w:p>
    <w:p w14:paraId="59BDD9C7" w14:textId="77777777" w:rsidR="00EF2B47" w:rsidRPr="00EF2B47" w:rsidRDefault="00EF2B47" w:rsidP="00EF2B47">
      <w:pPr>
        <w:rPr>
          <w:sz w:val="24"/>
          <w:szCs w:val="24"/>
          <w:lang w:val="en-US"/>
        </w:rPr>
      </w:pPr>
      <w:r w:rsidRPr="00EF2B47">
        <w:rPr>
          <w:b/>
          <w:bCs/>
          <w:sz w:val="24"/>
          <w:szCs w:val="24"/>
          <w:lang w:val="en-US"/>
        </w:rPr>
        <w:t xml:space="preserve">Business Valuation (Excluding Trail Book) </w:t>
      </w:r>
    </w:p>
    <w:p w14:paraId="6358980F" w14:textId="77777777" w:rsidR="00EF2B47" w:rsidRPr="00EF2B47" w:rsidRDefault="00EF2B47" w:rsidP="00EF2B47">
      <w:pPr>
        <w:rPr>
          <w:sz w:val="24"/>
          <w:szCs w:val="24"/>
          <w:lang w:val="en-US"/>
        </w:rPr>
      </w:pPr>
      <w:r w:rsidRPr="00EF2B47">
        <w:rPr>
          <w:sz w:val="24"/>
          <w:szCs w:val="24"/>
          <w:lang w:val="en-US"/>
        </w:rPr>
        <w:t xml:space="preserve">Conservative EBITDA multiples for structured SME service businesses: </w:t>
      </w:r>
    </w:p>
    <w:p w14:paraId="58CE5F73" w14:textId="77777777" w:rsidR="00EF2B47" w:rsidRPr="00EF2B47" w:rsidRDefault="00EF2B47" w:rsidP="00EF2B47">
      <w:pPr>
        <w:rPr>
          <w:sz w:val="24"/>
          <w:szCs w:val="24"/>
          <w:lang w:val="en-US"/>
        </w:rPr>
      </w:pPr>
      <w:r w:rsidRPr="00EF2B47">
        <w:rPr>
          <w:sz w:val="24"/>
          <w:szCs w:val="24"/>
          <w:lang w:val="en-US"/>
        </w:rPr>
        <w:t xml:space="preserve">2.0× EBITDA: </w:t>
      </w:r>
      <w:r w:rsidRPr="00EF2B47">
        <w:rPr>
          <w:b/>
          <w:bCs/>
          <w:sz w:val="24"/>
          <w:szCs w:val="24"/>
          <w:lang w:val="en-US"/>
        </w:rPr>
        <w:t xml:space="preserve">$547,520 </w:t>
      </w:r>
      <w:r w:rsidRPr="00EF2B47">
        <w:rPr>
          <w:sz w:val="24"/>
          <w:szCs w:val="24"/>
          <w:lang w:val="en-US"/>
        </w:rPr>
        <w:t xml:space="preserve">2.5× EBITDA: </w:t>
      </w:r>
      <w:r w:rsidRPr="00EF2B47">
        <w:rPr>
          <w:b/>
          <w:bCs/>
          <w:sz w:val="24"/>
          <w:szCs w:val="24"/>
          <w:lang w:val="en-US"/>
        </w:rPr>
        <w:t xml:space="preserve">$684,400 </w:t>
      </w:r>
      <w:r w:rsidRPr="00EF2B47">
        <w:rPr>
          <w:sz w:val="24"/>
          <w:szCs w:val="24"/>
          <w:lang w:val="en-US"/>
        </w:rPr>
        <w:t xml:space="preserve">3.0× EBITDA: </w:t>
      </w:r>
      <w:r w:rsidRPr="00EF2B47">
        <w:rPr>
          <w:b/>
          <w:bCs/>
          <w:sz w:val="24"/>
          <w:szCs w:val="24"/>
          <w:lang w:val="en-US"/>
        </w:rPr>
        <w:t xml:space="preserve">$821,280 </w:t>
      </w:r>
    </w:p>
    <w:p w14:paraId="00309D1E" w14:textId="77777777" w:rsidR="00EF2B47" w:rsidRPr="00EF2B47" w:rsidRDefault="00EF2B47" w:rsidP="00EF2B47">
      <w:pPr>
        <w:rPr>
          <w:sz w:val="24"/>
          <w:szCs w:val="24"/>
          <w:lang w:val="en-US"/>
        </w:rPr>
      </w:pPr>
      <w:r w:rsidRPr="00EF2B47">
        <w:rPr>
          <w:b/>
          <w:bCs/>
          <w:sz w:val="24"/>
          <w:szCs w:val="24"/>
          <w:lang w:val="en-US"/>
        </w:rPr>
        <w:t xml:space="preserve">Indicative business value at year 5: ~$534,000 to $821,280 </w:t>
      </w:r>
      <w:r w:rsidRPr="00EF2B47">
        <w:rPr>
          <w:sz w:val="24"/>
          <w:szCs w:val="24"/>
          <w:lang w:val="en-US"/>
        </w:rPr>
        <w:t xml:space="preserve">Property360 – Copyright - 2026 </w:t>
      </w:r>
    </w:p>
    <w:p w14:paraId="64082F4F" w14:textId="77777777" w:rsidR="00EF2B47" w:rsidRPr="00EF2B47" w:rsidRDefault="00EF2B47" w:rsidP="00EF2B47">
      <w:pPr>
        <w:rPr>
          <w:sz w:val="24"/>
          <w:szCs w:val="24"/>
          <w:lang w:val="en-US"/>
        </w:rPr>
      </w:pPr>
    </w:p>
    <w:p w14:paraId="290BD85F" w14:textId="77777777" w:rsidR="00EF2B47" w:rsidRPr="00EF2B47" w:rsidRDefault="00EF2B47" w:rsidP="00EF2B47">
      <w:pPr>
        <w:rPr>
          <w:color w:val="009999"/>
          <w:sz w:val="28"/>
          <w:szCs w:val="28"/>
          <w:lang w:val="en-US"/>
        </w:rPr>
      </w:pPr>
      <w:r w:rsidRPr="00EF2B47">
        <w:rPr>
          <w:b/>
          <w:bCs/>
          <w:color w:val="009999"/>
          <w:sz w:val="28"/>
          <w:szCs w:val="28"/>
          <w:lang w:val="en-US"/>
        </w:rPr>
        <w:t xml:space="preserve">Total Combined Exit Value (Year 5) </w:t>
      </w:r>
    </w:p>
    <w:p w14:paraId="4678813D" w14:textId="77777777" w:rsidR="00EF2B47" w:rsidRPr="00EF2B47" w:rsidRDefault="00EF2B47" w:rsidP="00EF2B47">
      <w:pPr>
        <w:rPr>
          <w:sz w:val="24"/>
          <w:szCs w:val="24"/>
          <w:lang w:val="en-US"/>
        </w:rPr>
      </w:pPr>
      <w:r w:rsidRPr="00EF2B47">
        <w:rPr>
          <w:sz w:val="24"/>
          <w:szCs w:val="24"/>
          <w:lang w:val="en-US"/>
        </w:rPr>
        <w:t xml:space="preserve">Trail Book Value: $756,000 – $945,000 Business Value: $534,000 – $821,280 </w:t>
      </w:r>
    </w:p>
    <w:p w14:paraId="1802DB00" w14:textId="77777777" w:rsidR="00EF2B47" w:rsidRPr="00EF2B47" w:rsidRDefault="00EF2B47" w:rsidP="00EF2B47">
      <w:pPr>
        <w:rPr>
          <w:sz w:val="24"/>
          <w:szCs w:val="24"/>
          <w:lang w:val="en-US"/>
        </w:rPr>
      </w:pPr>
      <w:r w:rsidRPr="00EF2B47">
        <w:rPr>
          <w:b/>
          <w:bCs/>
          <w:sz w:val="24"/>
          <w:szCs w:val="24"/>
          <w:lang w:val="en-US"/>
        </w:rPr>
        <w:t xml:space="preserve">Total Combined Exit Value: </w:t>
      </w:r>
    </w:p>
    <w:p w14:paraId="409860AC" w14:textId="77777777" w:rsidR="00EF2B47" w:rsidRPr="00EF2B47" w:rsidRDefault="00EF2B47" w:rsidP="00EF2B47">
      <w:pPr>
        <w:rPr>
          <w:sz w:val="24"/>
          <w:szCs w:val="24"/>
          <w:lang w:val="en-US"/>
        </w:rPr>
      </w:pPr>
      <w:r w:rsidRPr="00EF2B47">
        <w:rPr>
          <w:b/>
          <w:bCs/>
          <w:sz w:val="24"/>
          <w:szCs w:val="24"/>
          <w:lang w:val="en-US"/>
        </w:rPr>
        <w:t xml:space="preserve">~$1.29 million to $1.76 million </w:t>
      </w:r>
    </w:p>
    <w:p w14:paraId="30C17FE0" w14:textId="77777777" w:rsidR="00EF2B47" w:rsidRDefault="00EF2B47" w:rsidP="00EF2B47">
      <w:pPr>
        <w:rPr>
          <w:sz w:val="24"/>
          <w:szCs w:val="24"/>
          <w:lang w:val="en-US"/>
        </w:rPr>
      </w:pPr>
      <w:r w:rsidRPr="00EF2B47">
        <w:rPr>
          <w:b/>
          <w:bCs/>
          <w:sz w:val="24"/>
          <w:szCs w:val="24"/>
          <w:lang w:val="en-US"/>
        </w:rPr>
        <w:t xml:space="preserve">Key distinction: </w:t>
      </w:r>
      <w:r w:rsidRPr="00EF2B47">
        <w:rPr>
          <w:sz w:val="24"/>
          <w:szCs w:val="24"/>
          <w:lang w:val="en-US"/>
        </w:rPr>
        <w:t xml:space="preserve">Property360 does not simply create trail income—it converts a traditional real estate office into a structured, compliant, finance-enabled enterprise with genuine saleable business value. </w:t>
      </w:r>
    </w:p>
    <w:p w14:paraId="031D9896" w14:textId="77777777" w:rsidR="00EF2B47" w:rsidRPr="00EF2B47" w:rsidRDefault="00EF2B47" w:rsidP="00EF2B47">
      <w:pPr>
        <w:rPr>
          <w:sz w:val="24"/>
          <w:szCs w:val="24"/>
          <w:lang w:val="en-US"/>
        </w:rPr>
      </w:pPr>
    </w:p>
    <w:p w14:paraId="0A53829B" w14:textId="77777777" w:rsidR="00EF2B47" w:rsidRPr="00EF2B47" w:rsidRDefault="00EF2B47" w:rsidP="00EF2B47">
      <w:pPr>
        <w:rPr>
          <w:sz w:val="24"/>
          <w:szCs w:val="24"/>
          <w:lang w:val="en-US"/>
        </w:rPr>
      </w:pPr>
      <w:r w:rsidRPr="00EF2B47">
        <w:rPr>
          <w:b/>
          <w:bCs/>
          <w:sz w:val="24"/>
          <w:szCs w:val="24"/>
          <w:lang w:val="en-US"/>
        </w:rPr>
        <w:t xml:space="preserve">Disclaimer – Financial Projections &amp; Valuations </w:t>
      </w:r>
    </w:p>
    <w:p w14:paraId="40C619B3" w14:textId="77777777" w:rsidR="00EF2B47" w:rsidRPr="00EF2B47" w:rsidRDefault="00EF2B47" w:rsidP="00EF2B47">
      <w:pPr>
        <w:rPr>
          <w:sz w:val="18"/>
          <w:szCs w:val="18"/>
          <w:lang w:val="en-US"/>
        </w:rPr>
      </w:pPr>
      <w:r w:rsidRPr="00EF2B47">
        <w:rPr>
          <w:sz w:val="18"/>
          <w:szCs w:val="18"/>
          <w:lang w:val="en-US"/>
        </w:rPr>
        <w:t xml:space="preserve">The financial projections, commission estimates, and valuation figures provided are indicative only and based on stated assumptions and illustrative scenarios. Actual results will vary due to performance, market conditions, loan sizes, settlement volumes, commission structures, lender policies, costs, and management practices. </w:t>
      </w:r>
    </w:p>
    <w:p w14:paraId="0AD4B402" w14:textId="77777777" w:rsidR="00EF2B47" w:rsidRPr="00EF2B47" w:rsidRDefault="00EF2B47" w:rsidP="00EF2B47">
      <w:pPr>
        <w:rPr>
          <w:sz w:val="18"/>
          <w:szCs w:val="18"/>
          <w:lang w:val="en-US"/>
        </w:rPr>
      </w:pPr>
      <w:r w:rsidRPr="00EF2B47">
        <w:rPr>
          <w:sz w:val="18"/>
          <w:szCs w:val="18"/>
          <w:lang w:val="en-US"/>
        </w:rPr>
        <w:t xml:space="preserve">Business and trail valuations are estimates only and subject to buyer appetite, risk profile, compliance quality, revenue stability, and prevailing market multiples at time of sale. No guarantee is given or implied. </w:t>
      </w:r>
    </w:p>
    <w:p w14:paraId="3064C1D9" w14:textId="1D0A6B3F" w:rsidR="00EF2B47" w:rsidRPr="00EF2B47" w:rsidRDefault="00EF2B47" w:rsidP="00EF2B47">
      <w:pPr>
        <w:rPr>
          <w:sz w:val="18"/>
          <w:szCs w:val="18"/>
          <w:lang w:val="en-US"/>
        </w:rPr>
      </w:pPr>
      <w:r w:rsidRPr="00EF2B47">
        <w:rPr>
          <w:sz w:val="18"/>
          <w:szCs w:val="18"/>
          <w:lang w:val="en-US"/>
        </w:rPr>
        <w:t>Independent professional advice should be obtained before relying on these figures.</w:t>
      </w:r>
    </w:p>
    <w:sectPr w:rsidR="00EF2B47" w:rsidRPr="00EF2B47" w:rsidSect="00EF2B47">
      <w:footerReference w:type="default" r:id="rId8"/>
      <w:pgSz w:w="11906" w:h="16838"/>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0676" w14:textId="77777777" w:rsidR="00DA49BC" w:rsidRDefault="00DA49BC" w:rsidP="00B66884">
      <w:pPr>
        <w:spacing w:after="0" w:line="240" w:lineRule="auto"/>
      </w:pPr>
      <w:r>
        <w:separator/>
      </w:r>
    </w:p>
  </w:endnote>
  <w:endnote w:type="continuationSeparator" w:id="0">
    <w:p w14:paraId="116C8EF8" w14:textId="77777777" w:rsidR="00DA49BC" w:rsidRDefault="00DA49BC" w:rsidP="00B6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3D27" w14:textId="7470FE55" w:rsidR="00B66884" w:rsidRDefault="00B66884" w:rsidP="00B66884">
    <w:pPr>
      <w:pStyle w:val="Footer"/>
      <w:jc w:val="right"/>
    </w:pPr>
    <w:r>
      <w:t>Copyright – 2026 - Property360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3547" w14:textId="77777777" w:rsidR="00DA49BC" w:rsidRDefault="00DA49BC" w:rsidP="00B66884">
      <w:pPr>
        <w:spacing w:after="0" w:line="240" w:lineRule="auto"/>
      </w:pPr>
      <w:r>
        <w:separator/>
      </w:r>
    </w:p>
  </w:footnote>
  <w:footnote w:type="continuationSeparator" w:id="0">
    <w:p w14:paraId="02C774A0" w14:textId="77777777" w:rsidR="00DA49BC" w:rsidRDefault="00DA49BC" w:rsidP="00B66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C74DA40" id="_x0000_i1025" style="width:0;height:1.5pt" o:hralign="center" o:bullet="t" o:hrstd="t" o:hr="t" fillcolor="#a0a0a0" stroked="f"/>
    </w:pict>
  </w:numPicBullet>
  <w:abstractNum w:abstractNumId="0" w15:restartNumberingAfterBreak="0">
    <w:nsid w:val="A4779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15CEF"/>
    <w:multiLevelType w:val="multilevel"/>
    <w:tmpl w:val="F91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2A6"/>
    <w:multiLevelType w:val="multilevel"/>
    <w:tmpl w:val="FF5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8A1"/>
    <w:multiLevelType w:val="multilevel"/>
    <w:tmpl w:val="6FC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F0FC2"/>
    <w:multiLevelType w:val="multilevel"/>
    <w:tmpl w:val="4F7C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318CA"/>
    <w:multiLevelType w:val="multilevel"/>
    <w:tmpl w:val="703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02F9A"/>
    <w:multiLevelType w:val="multilevel"/>
    <w:tmpl w:val="B880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E76D2"/>
    <w:multiLevelType w:val="multilevel"/>
    <w:tmpl w:val="6FCA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13722"/>
    <w:multiLevelType w:val="multilevel"/>
    <w:tmpl w:val="C04E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837BE"/>
    <w:multiLevelType w:val="multilevel"/>
    <w:tmpl w:val="87EE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D0D8C"/>
    <w:multiLevelType w:val="multilevel"/>
    <w:tmpl w:val="DE8E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919D4"/>
    <w:multiLevelType w:val="multilevel"/>
    <w:tmpl w:val="2A6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4501"/>
    <w:multiLevelType w:val="multilevel"/>
    <w:tmpl w:val="D11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90646"/>
    <w:multiLevelType w:val="multilevel"/>
    <w:tmpl w:val="9308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D4DA6"/>
    <w:multiLevelType w:val="hybridMultilevel"/>
    <w:tmpl w:val="226CD4DC"/>
    <w:lvl w:ilvl="0" w:tplc="97C2935C">
      <w:start w:val="1"/>
      <w:numFmt w:val="bullet"/>
      <w:lvlText w:val=""/>
      <w:lvlPicBulletId w:val="0"/>
      <w:lvlJc w:val="left"/>
      <w:pPr>
        <w:tabs>
          <w:tab w:val="num" w:pos="720"/>
        </w:tabs>
        <w:ind w:left="720" w:hanging="360"/>
      </w:pPr>
      <w:rPr>
        <w:rFonts w:ascii="Symbol" w:hAnsi="Symbol" w:hint="default"/>
      </w:rPr>
    </w:lvl>
    <w:lvl w:ilvl="1" w:tplc="B802B9DC" w:tentative="1">
      <w:start w:val="1"/>
      <w:numFmt w:val="bullet"/>
      <w:lvlText w:val=""/>
      <w:lvlJc w:val="left"/>
      <w:pPr>
        <w:tabs>
          <w:tab w:val="num" w:pos="1440"/>
        </w:tabs>
        <w:ind w:left="1440" w:hanging="360"/>
      </w:pPr>
      <w:rPr>
        <w:rFonts w:ascii="Symbol" w:hAnsi="Symbol" w:hint="default"/>
      </w:rPr>
    </w:lvl>
    <w:lvl w:ilvl="2" w:tplc="AD5AC03E" w:tentative="1">
      <w:start w:val="1"/>
      <w:numFmt w:val="bullet"/>
      <w:lvlText w:val=""/>
      <w:lvlJc w:val="left"/>
      <w:pPr>
        <w:tabs>
          <w:tab w:val="num" w:pos="2160"/>
        </w:tabs>
        <w:ind w:left="2160" w:hanging="360"/>
      </w:pPr>
      <w:rPr>
        <w:rFonts w:ascii="Symbol" w:hAnsi="Symbol" w:hint="default"/>
      </w:rPr>
    </w:lvl>
    <w:lvl w:ilvl="3" w:tplc="C22828CA" w:tentative="1">
      <w:start w:val="1"/>
      <w:numFmt w:val="bullet"/>
      <w:lvlText w:val=""/>
      <w:lvlJc w:val="left"/>
      <w:pPr>
        <w:tabs>
          <w:tab w:val="num" w:pos="2880"/>
        </w:tabs>
        <w:ind w:left="2880" w:hanging="360"/>
      </w:pPr>
      <w:rPr>
        <w:rFonts w:ascii="Symbol" w:hAnsi="Symbol" w:hint="default"/>
      </w:rPr>
    </w:lvl>
    <w:lvl w:ilvl="4" w:tplc="4F3E59AA" w:tentative="1">
      <w:start w:val="1"/>
      <w:numFmt w:val="bullet"/>
      <w:lvlText w:val=""/>
      <w:lvlJc w:val="left"/>
      <w:pPr>
        <w:tabs>
          <w:tab w:val="num" w:pos="3600"/>
        </w:tabs>
        <w:ind w:left="3600" w:hanging="360"/>
      </w:pPr>
      <w:rPr>
        <w:rFonts w:ascii="Symbol" w:hAnsi="Symbol" w:hint="default"/>
      </w:rPr>
    </w:lvl>
    <w:lvl w:ilvl="5" w:tplc="372611BA" w:tentative="1">
      <w:start w:val="1"/>
      <w:numFmt w:val="bullet"/>
      <w:lvlText w:val=""/>
      <w:lvlJc w:val="left"/>
      <w:pPr>
        <w:tabs>
          <w:tab w:val="num" w:pos="4320"/>
        </w:tabs>
        <w:ind w:left="4320" w:hanging="360"/>
      </w:pPr>
      <w:rPr>
        <w:rFonts w:ascii="Symbol" w:hAnsi="Symbol" w:hint="default"/>
      </w:rPr>
    </w:lvl>
    <w:lvl w:ilvl="6" w:tplc="8BC20728" w:tentative="1">
      <w:start w:val="1"/>
      <w:numFmt w:val="bullet"/>
      <w:lvlText w:val=""/>
      <w:lvlJc w:val="left"/>
      <w:pPr>
        <w:tabs>
          <w:tab w:val="num" w:pos="5040"/>
        </w:tabs>
        <w:ind w:left="5040" w:hanging="360"/>
      </w:pPr>
      <w:rPr>
        <w:rFonts w:ascii="Symbol" w:hAnsi="Symbol" w:hint="default"/>
      </w:rPr>
    </w:lvl>
    <w:lvl w:ilvl="7" w:tplc="027CA85C" w:tentative="1">
      <w:start w:val="1"/>
      <w:numFmt w:val="bullet"/>
      <w:lvlText w:val=""/>
      <w:lvlJc w:val="left"/>
      <w:pPr>
        <w:tabs>
          <w:tab w:val="num" w:pos="5760"/>
        </w:tabs>
        <w:ind w:left="5760" w:hanging="360"/>
      </w:pPr>
      <w:rPr>
        <w:rFonts w:ascii="Symbol" w:hAnsi="Symbol" w:hint="default"/>
      </w:rPr>
    </w:lvl>
    <w:lvl w:ilvl="8" w:tplc="828E07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915F70"/>
    <w:multiLevelType w:val="multilevel"/>
    <w:tmpl w:val="408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965D6"/>
    <w:multiLevelType w:val="multilevel"/>
    <w:tmpl w:val="021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61ACF"/>
    <w:multiLevelType w:val="multilevel"/>
    <w:tmpl w:val="5CEE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52365"/>
    <w:multiLevelType w:val="multilevel"/>
    <w:tmpl w:val="3DF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E7AB2"/>
    <w:multiLevelType w:val="multilevel"/>
    <w:tmpl w:val="926C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E6EFB"/>
    <w:multiLevelType w:val="multilevel"/>
    <w:tmpl w:val="E2F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35A4A"/>
    <w:multiLevelType w:val="multilevel"/>
    <w:tmpl w:val="494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47F49"/>
    <w:multiLevelType w:val="multilevel"/>
    <w:tmpl w:val="D10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2302F"/>
    <w:multiLevelType w:val="multilevel"/>
    <w:tmpl w:val="597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32156"/>
    <w:multiLevelType w:val="multilevel"/>
    <w:tmpl w:val="39A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531F2"/>
    <w:multiLevelType w:val="multilevel"/>
    <w:tmpl w:val="91A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4509F"/>
    <w:multiLevelType w:val="multilevel"/>
    <w:tmpl w:val="60B6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42906"/>
    <w:multiLevelType w:val="multilevel"/>
    <w:tmpl w:val="1CA6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3238B"/>
    <w:multiLevelType w:val="multilevel"/>
    <w:tmpl w:val="9EE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8403ED"/>
    <w:multiLevelType w:val="multilevel"/>
    <w:tmpl w:val="72A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C7AE2"/>
    <w:multiLevelType w:val="multilevel"/>
    <w:tmpl w:val="1B32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04B8B"/>
    <w:multiLevelType w:val="multilevel"/>
    <w:tmpl w:val="8DD2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016C70"/>
    <w:multiLevelType w:val="multilevel"/>
    <w:tmpl w:val="8742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A784E"/>
    <w:multiLevelType w:val="multilevel"/>
    <w:tmpl w:val="43C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42495">
    <w:abstractNumId w:val="15"/>
  </w:num>
  <w:num w:numId="2" w16cid:durableId="574779897">
    <w:abstractNumId w:val="16"/>
  </w:num>
  <w:num w:numId="3" w16cid:durableId="955868292">
    <w:abstractNumId w:val="22"/>
  </w:num>
  <w:num w:numId="4" w16cid:durableId="214313386">
    <w:abstractNumId w:val="30"/>
  </w:num>
  <w:num w:numId="5" w16cid:durableId="1512179407">
    <w:abstractNumId w:val="3"/>
  </w:num>
  <w:num w:numId="6" w16cid:durableId="1898513329">
    <w:abstractNumId w:val="33"/>
  </w:num>
  <w:num w:numId="7" w16cid:durableId="1613630365">
    <w:abstractNumId w:val="23"/>
  </w:num>
  <w:num w:numId="8" w16cid:durableId="1092816492">
    <w:abstractNumId w:val="21"/>
  </w:num>
  <w:num w:numId="9" w16cid:durableId="197007301">
    <w:abstractNumId w:val="1"/>
  </w:num>
  <w:num w:numId="10" w16cid:durableId="679235933">
    <w:abstractNumId w:val="7"/>
  </w:num>
  <w:num w:numId="11" w16cid:durableId="1013262813">
    <w:abstractNumId w:val="20"/>
  </w:num>
  <w:num w:numId="12" w16cid:durableId="202405656">
    <w:abstractNumId w:val="26"/>
  </w:num>
  <w:num w:numId="13" w16cid:durableId="971322047">
    <w:abstractNumId w:val="9"/>
  </w:num>
  <w:num w:numId="14" w16cid:durableId="759911260">
    <w:abstractNumId w:val="8"/>
  </w:num>
  <w:num w:numId="15" w16cid:durableId="571351476">
    <w:abstractNumId w:val="19"/>
  </w:num>
  <w:num w:numId="16" w16cid:durableId="1212157376">
    <w:abstractNumId w:val="18"/>
  </w:num>
  <w:num w:numId="17" w16cid:durableId="1959675611">
    <w:abstractNumId w:val="12"/>
  </w:num>
  <w:num w:numId="18" w16cid:durableId="1536195556">
    <w:abstractNumId w:val="5"/>
  </w:num>
  <w:num w:numId="19" w16cid:durableId="1306088246">
    <w:abstractNumId w:val="17"/>
  </w:num>
  <w:num w:numId="20" w16cid:durableId="70978950">
    <w:abstractNumId w:val="2"/>
  </w:num>
  <w:num w:numId="21" w16cid:durableId="2087989071">
    <w:abstractNumId w:val="32"/>
  </w:num>
  <w:num w:numId="22" w16cid:durableId="1343237762">
    <w:abstractNumId w:val="10"/>
  </w:num>
  <w:num w:numId="23" w16cid:durableId="66652832">
    <w:abstractNumId w:val="29"/>
  </w:num>
  <w:num w:numId="24" w16cid:durableId="1641568543">
    <w:abstractNumId w:val="24"/>
  </w:num>
  <w:num w:numId="25" w16cid:durableId="1696151605">
    <w:abstractNumId w:val="25"/>
  </w:num>
  <w:num w:numId="26" w16cid:durableId="976489714">
    <w:abstractNumId w:val="6"/>
  </w:num>
  <w:num w:numId="27" w16cid:durableId="978877412">
    <w:abstractNumId w:val="28"/>
  </w:num>
  <w:num w:numId="28" w16cid:durableId="282660871">
    <w:abstractNumId w:val="11"/>
  </w:num>
  <w:num w:numId="29" w16cid:durableId="686905670">
    <w:abstractNumId w:val="4"/>
  </w:num>
  <w:num w:numId="30" w16cid:durableId="2064979895">
    <w:abstractNumId w:val="27"/>
  </w:num>
  <w:num w:numId="31" w16cid:durableId="2075614852">
    <w:abstractNumId w:val="31"/>
  </w:num>
  <w:num w:numId="32" w16cid:durableId="1721057268">
    <w:abstractNumId w:val="13"/>
  </w:num>
  <w:num w:numId="33" w16cid:durableId="397172932">
    <w:abstractNumId w:val="14"/>
  </w:num>
  <w:num w:numId="34" w16cid:durableId="31989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0C"/>
    <w:rsid w:val="00001131"/>
    <w:rsid w:val="00176623"/>
    <w:rsid w:val="00185E4C"/>
    <w:rsid w:val="0037535D"/>
    <w:rsid w:val="006F62E0"/>
    <w:rsid w:val="00A5170C"/>
    <w:rsid w:val="00B66884"/>
    <w:rsid w:val="00D207DD"/>
    <w:rsid w:val="00DA49BC"/>
    <w:rsid w:val="00E05D10"/>
    <w:rsid w:val="00E71878"/>
    <w:rsid w:val="00EF2B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0A0E"/>
  <w15:chartTrackingRefBased/>
  <w15:docId w15:val="{24106C84-AAF3-4C63-817A-2CE518D2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7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170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170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170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170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1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70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170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170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170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170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1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70C"/>
    <w:rPr>
      <w:rFonts w:eastAsiaTheme="majorEastAsia" w:cstheme="majorBidi"/>
      <w:color w:val="272727" w:themeColor="text1" w:themeTint="D8"/>
    </w:rPr>
  </w:style>
  <w:style w:type="paragraph" w:styleId="Title">
    <w:name w:val="Title"/>
    <w:basedOn w:val="Normal"/>
    <w:next w:val="Normal"/>
    <w:link w:val="TitleChar"/>
    <w:uiPriority w:val="10"/>
    <w:qFormat/>
    <w:rsid w:val="00A51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7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7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170C"/>
    <w:rPr>
      <w:i/>
      <w:iCs/>
      <w:color w:val="404040" w:themeColor="text1" w:themeTint="BF"/>
    </w:rPr>
  </w:style>
  <w:style w:type="paragraph" w:styleId="ListParagraph">
    <w:name w:val="List Paragraph"/>
    <w:basedOn w:val="Normal"/>
    <w:uiPriority w:val="34"/>
    <w:qFormat/>
    <w:rsid w:val="00A5170C"/>
    <w:pPr>
      <w:ind w:left="720"/>
      <w:contextualSpacing/>
    </w:pPr>
  </w:style>
  <w:style w:type="character" w:styleId="IntenseEmphasis">
    <w:name w:val="Intense Emphasis"/>
    <w:basedOn w:val="DefaultParagraphFont"/>
    <w:uiPriority w:val="21"/>
    <w:qFormat/>
    <w:rsid w:val="00A5170C"/>
    <w:rPr>
      <w:i/>
      <w:iCs/>
      <w:color w:val="365F91" w:themeColor="accent1" w:themeShade="BF"/>
    </w:rPr>
  </w:style>
  <w:style w:type="paragraph" w:styleId="IntenseQuote">
    <w:name w:val="Intense Quote"/>
    <w:basedOn w:val="Normal"/>
    <w:next w:val="Normal"/>
    <w:link w:val="IntenseQuoteChar"/>
    <w:uiPriority w:val="30"/>
    <w:qFormat/>
    <w:rsid w:val="00A517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170C"/>
    <w:rPr>
      <w:i/>
      <w:iCs/>
      <w:color w:val="365F91" w:themeColor="accent1" w:themeShade="BF"/>
    </w:rPr>
  </w:style>
  <w:style w:type="character" w:styleId="IntenseReference">
    <w:name w:val="Intense Reference"/>
    <w:basedOn w:val="DefaultParagraphFont"/>
    <w:uiPriority w:val="32"/>
    <w:qFormat/>
    <w:rsid w:val="00A5170C"/>
    <w:rPr>
      <w:b/>
      <w:bCs/>
      <w:smallCaps/>
      <w:color w:val="365F91" w:themeColor="accent1" w:themeShade="BF"/>
      <w:spacing w:val="5"/>
    </w:rPr>
  </w:style>
  <w:style w:type="paragraph" w:styleId="Header">
    <w:name w:val="header"/>
    <w:basedOn w:val="Normal"/>
    <w:link w:val="HeaderChar"/>
    <w:uiPriority w:val="99"/>
    <w:unhideWhenUsed/>
    <w:rsid w:val="00B66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884"/>
  </w:style>
  <w:style w:type="paragraph" w:styleId="Footer">
    <w:name w:val="footer"/>
    <w:basedOn w:val="Normal"/>
    <w:link w:val="FooterChar"/>
    <w:uiPriority w:val="99"/>
    <w:unhideWhenUsed/>
    <w:rsid w:val="00B66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844</Words>
  <Characters>5024</Characters>
  <Application>Microsoft Office Word</Application>
  <DocSecurity>0</DocSecurity>
  <Lines>147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Rice</dc:creator>
  <cp:keywords/>
  <dc:description/>
  <cp:lastModifiedBy>Philip Rice</cp:lastModifiedBy>
  <cp:revision>3</cp:revision>
  <cp:lastPrinted>2026-01-20T11:22:00Z</cp:lastPrinted>
  <dcterms:created xsi:type="dcterms:W3CDTF">2026-01-20T04:11:00Z</dcterms:created>
  <dcterms:modified xsi:type="dcterms:W3CDTF">2026-01-20T11:22:00Z</dcterms:modified>
</cp:coreProperties>
</file>