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6BCA" w14:textId="05B78BB3" w:rsidR="00F45B13" w:rsidRDefault="00F45B13" w:rsidP="00F45B13">
      <w:pPr>
        <w:jc w:val="center"/>
        <w:rPr>
          <w:rFonts w:asciiTheme="minorHAnsi" w:hAnsiTheme="minorHAnsi" w:cstheme="minorHAnsi"/>
          <w:b/>
          <w:bCs/>
          <w:sz w:val="28"/>
        </w:rPr>
      </w:pPr>
      <w:r>
        <w:rPr>
          <w:rFonts w:asciiTheme="minorHAnsi" w:hAnsiTheme="minorHAnsi" w:cstheme="minorHAnsi"/>
          <w:b/>
          <w:bCs/>
          <w:sz w:val="28"/>
        </w:rPr>
        <w:t>2025 AIChE Central Florida Phosphate Fertilizer and Sulfuric Acid Technology Conference</w:t>
      </w:r>
    </w:p>
    <w:p w14:paraId="3F5FC93E" w14:textId="7EFD81FD" w:rsidR="00F45B13" w:rsidRPr="00871D99" w:rsidRDefault="00F45B13" w:rsidP="00F45B13">
      <w:pPr>
        <w:jc w:val="center"/>
        <w:rPr>
          <w:rFonts w:asciiTheme="minorHAnsi" w:hAnsiTheme="minorHAnsi" w:cstheme="minorHAnsi"/>
          <w:b/>
          <w:bCs/>
          <w:sz w:val="28"/>
        </w:rPr>
      </w:pPr>
      <w:r w:rsidRPr="00871D99">
        <w:rPr>
          <w:rFonts w:asciiTheme="minorHAnsi" w:hAnsiTheme="minorHAnsi" w:cstheme="minorHAnsi"/>
          <w:b/>
          <w:bCs/>
          <w:sz w:val="28"/>
        </w:rPr>
        <w:t xml:space="preserve"> Sulfuric Acid Workshop</w:t>
      </w:r>
    </w:p>
    <w:p w14:paraId="58B833DA" w14:textId="77777777" w:rsidR="00F45B13" w:rsidRPr="00871D99" w:rsidRDefault="00F45B13" w:rsidP="00F45B13">
      <w:pPr>
        <w:jc w:val="center"/>
        <w:rPr>
          <w:rFonts w:asciiTheme="minorHAnsi" w:hAnsiTheme="minorHAnsi" w:cstheme="minorHAnsi"/>
          <w:b/>
          <w:bCs/>
          <w:sz w:val="28"/>
        </w:rPr>
      </w:pPr>
    </w:p>
    <w:p w14:paraId="2DAA145A" w14:textId="1D8C6C96" w:rsidR="00F45B13" w:rsidRPr="00871D99" w:rsidRDefault="002D758F" w:rsidP="00F45B13">
      <w:pPr>
        <w:jc w:val="center"/>
        <w:rPr>
          <w:rFonts w:asciiTheme="minorHAnsi" w:hAnsiTheme="minorHAnsi" w:cstheme="minorHAnsi"/>
          <w:b/>
          <w:bCs/>
          <w:sz w:val="28"/>
        </w:rPr>
      </w:pPr>
      <w:r>
        <w:rPr>
          <w:rFonts w:asciiTheme="minorHAnsi" w:hAnsiTheme="minorHAnsi" w:cstheme="minorHAnsi"/>
          <w:b/>
          <w:bCs/>
          <w:sz w:val="28"/>
        </w:rPr>
        <w:t>“</w:t>
      </w:r>
      <w:r w:rsidR="00F45B13" w:rsidRPr="00871D99">
        <w:rPr>
          <w:rFonts w:asciiTheme="minorHAnsi" w:hAnsiTheme="minorHAnsi" w:cstheme="minorHAnsi"/>
          <w:b/>
          <w:bCs/>
          <w:sz w:val="28"/>
        </w:rPr>
        <w:t>Troubleshooting of Sulfuric Acid Plants</w:t>
      </w:r>
      <w:r>
        <w:rPr>
          <w:rFonts w:asciiTheme="minorHAnsi" w:hAnsiTheme="minorHAnsi" w:cstheme="minorHAnsi"/>
          <w:b/>
          <w:bCs/>
          <w:sz w:val="28"/>
        </w:rPr>
        <w:t>”</w:t>
      </w:r>
    </w:p>
    <w:p w14:paraId="70DB9895" w14:textId="77777777" w:rsidR="00F45B13" w:rsidRPr="00871D99" w:rsidRDefault="00F45B13" w:rsidP="00F45B13">
      <w:pPr>
        <w:jc w:val="both"/>
        <w:rPr>
          <w:rFonts w:asciiTheme="minorHAnsi" w:hAnsiTheme="minorHAnsi" w:cstheme="minorHAnsi"/>
        </w:rPr>
      </w:pPr>
    </w:p>
    <w:p w14:paraId="33798ECE" w14:textId="77777777" w:rsidR="00F45B13" w:rsidRPr="00871D99" w:rsidRDefault="00F45B13" w:rsidP="00F45B13">
      <w:pPr>
        <w:rPr>
          <w:rFonts w:asciiTheme="minorHAnsi" w:hAnsiTheme="minorHAnsi" w:cstheme="minorHAnsi"/>
        </w:rPr>
      </w:pPr>
      <w:r w:rsidRPr="00871D99">
        <w:rPr>
          <w:rFonts w:asciiTheme="minorHAnsi" w:hAnsiTheme="minorHAnsi" w:cstheme="minorHAnsi"/>
        </w:rPr>
        <w:t xml:space="preserve">Normally, sulfuric acid plants operate reliably, but when they do not, how do you troubleshoot the problem? Due to personnel turnover and demographics, the sulfuric acid industry's operational knowledge base has declined. The changed condition may not have been noticed until a significant change has occurred concerning plant performance. How do you process to resolve the problem? </w:t>
      </w:r>
    </w:p>
    <w:p w14:paraId="59684648" w14:textId="77777777" w:rsidR="00F45B13" w:rsidRPr="00871D99" w:rsidRDefault="00F45B13" w:rsidP="00F45B13">
      <w:pPr>
        <w:rPr>
          <w:rFonts w:asciiTheme="minorHAnsi" w:hAnsiTheme="minorHAnsi" w:cstheme="minorHAnsi"/>
        </w:rPr>
      </w:pPr>
    </w:p>
    <w:p w14:paraId="105D2302" w14:textId="77777777" w:rsidR="00F45B13" w:rsidRPr="00871D99" w:rsidRDefault="00F45B13" w:rsidP="00F45B13">
      <w:pPr>
        <w:rPr>
          <w:rFonts w:asciiTheme="minorHAnsi" w:hAnsiTheme="minorHAnsi" w:cstheme="minorHAnsi"/>
        </w:rPr>
      </w:pPr>
      <w:r w:rsidRPr="00871D99">
        <w:rPr>
          <w:rFonts w:asciiTheme="minorHAnsi" w:hAnsiTheme="minorHAnsi" w:cstheme="minorHAnsi"/>
        </w:rPr>
        <w:t xml:space="preserve">This year’s Sulfuric Acid Workshop will focus on troubleshooting sulfuric acid plants. It will review the approach and methods for determining the source of performance issues, including catalyst, heat exchangers, Anodic protection, and mist eliminator performance. </w:t>
      </w:r>
    </w:p>
    <w:p w14:paraId="6014B7F3" w14:textId="77777777" w:rsidR="00F45B13" w:rsidRPr="00871D99" w:rsidRDefault="00F45B13" w:rsidP="00F45B13">
      <w:pPr>
        <w:jc w:val="both"/>
        <w:rPr>
          <w:rFonts w:asciiTheme="minorHAnsi" w:hAnsiTheme="minorHAnsi" w:cstheme="minorHAnsi"/>
        </w:rPr>
      </w:pPr>
    </w:p>
    <w:p w14:paraId="15E1D646" w14:textId="77777777" w:rsidR="00F45B13" w:rsidRPr="00871D99" w:rsidRDefault="00F45B13" w:rsidP="00F45B13">
      <w:pPr>
        <w:jc w:val="both"/>
        <w:rPr>
          <w:rFonts w:asciiTheme="minorHAnsi" w:hAnsiTheme="minorHAnsi" w:cstheme="minorHAnsi"/>
        </w:rPr>
      </w:pPr>
      <w:r w:rsidRPr="00871D99">
        <w:rPr>
          <w:rFonts w:asciiTheme="minorHAnsi" w:hAnsiTheme="minorHAnsi" w:cstheme="minorHAnsi"/>
        </w:rPr>
        <w:t xml:space="preserve">The session will include actual troubleshooting presentations geared towards practicing engineers with various degrees of exposure to sulfuric plant operation, troubleshooting, and maintenance.  </w:t>
      </w:r>
    </w:p>
    <w:p w14:paraId="13E5EB9D" w14:textId="77777777" w:rsidR="00F45B13" w:rsidRPr="00871D99" w:rsidRDefault="00F45B13" w:rsidP="00F45B13">
      <w:pPr>
        <w:jc w:val="both"/>
        <w:rPr>
          <w:rFonts w:asciiTheme="minorHAnsi" w:hAnsiTheme="minorHAnsi" w:cstheme="minorHAnsi"/>
        </w:rPr>
      </w:pPr>
    </w:p>
    <w:p w14:paraId="768C91A4" w14:textId="77777777" w:rsidR="00F45B13" w:rsidRPr="00871D99" w:rsidRDefault="00F45B13" w:rsidP="00F45B13">
      <w:pPr>
        <w:jc w:val="both"/>
        <w:rPr>
          <w:rFonts w:asciiTheme="minorHAnsi" w:hAnsiTheme="minorHAnsi" w:cstheme="minorHAnsi"/>
        </w:rPr>
      </w:pPr>
      <w:r w:rsidRPr="00871D99">
        <w:rPr>
          <w:rFonts w:asciiTheme="minorHAnsi" w:hAnsiTheme="minorHAnsi" w:cstheme="minorHAnsi"/>
        </w:rPr>
        <w:t xml:space="preserve">Engineers involved in plant operations must fully understand a variety of issues to efficiently run a sulfuric acid plant. The Workshop’s objective is to assist engineers in evaluating the operation and maintenance of their plants.  </w:t>
      </w:r>
    </w:p>
    <w:p w14:paraId="09BC35D8" w14:textId="77777777" w:rsidR="00F45B13" w:rsidRPr="00871D99" w:rsidRDefault="00F45B13" w:rsidP="00F45B13">
      <w:pPr>
        <w:jc w:val="both"/>
        <w:rPr>
          <w:rFonts w:asciiTheme="minorHAnsi" w:hAnsiTheme="minorHAnsi" w:cstheme="minorHAnsi"/>
        </w:rPr>
      </w:pPr>
    </w:p>
    <w:p w14:paraId="146A5D4A" w14:textId="77777777" w:rsidR="00F45B13" w:rsidRDefault="00F45B13" w:rsidP="00F45B13">
      <w:pPr>
        <w:jc w:val="both"/>
      </w:pPr>
      <w:r w:rsidRPr="00871D99">
        <w:rPr>
          <w:rFonts w:asciiTheme="minorHAnsi" w:hAnsiTheme="minorHAnsi" w:cstheme="minorHAnsi"/>
        </w:rPr>
        <w:t>Following the presentations, there will be a panel discussion providing participants an opportunity to have their questions answered by our distinguished panel of experts in the industry</w:t>
      </w:r>
      <w:r>
        <w:t>.</w:t>
      </w:r>
    </w:p>
    <w:p w14:paraId="5F80507A" w14:textId="77777777" w:rsidR="00F45B13" w:rsidRDefault="00F45B13" w:rsidP="00F45B13">
      <w:pPr>
        <w:jc w:val="both"/>
      </w:pPr>
    </w:p>
    <w:p w14:paraId="7E4828FB" w14:textId="458D7042" w:rsidR="00F45B13" w:rsidRDefault="00F45B13" w:rsidP="00F45B13">
      <w:pPr>
        <w:jc w:val="center"/>
        <w:rPr>
          <w:rFonts w:asciiTheme="minorHAnsi" w:hAnsiTheme="minorHAnsi"/>
        </w:rPr>
      </w:pPr>
      <w:r w:rsidRPr="00F45B13">
        <w:rPr>
          <w:rFonts w:asciiTheme="minorHAnsi" w:hAnsiTheme="minorHAnsi"/>
        </w:rPr>
        <w:t>Speaker Panel:</w:t>
      </w:r>
    </w:p>
    <w:p w14:paraId="6B92AD14" w14:textId="77777777" w:rsidR="00F45B13" w:rsidRDefault="00F45B13" w:rsidP="00F45B13">
      <w:pPr>
        <w:jc w:val="center"/>
        <w:rPr>
          <w:rFonts w:asciiTheme="minorHAnsi" w:hAnsiTheme="minorHAnsi"/>
        </w:rPr>
      </w:pPr>
    </w:p>
    <w:tbl>
      <w:tblPr>
        <w:tblStyle w:val="TableGrid"/>
        <w:tblW w:w="0" w:type="auto"/>
        <w:jc w:val="center"/>
        <w:tblLook w:val="04A0" w:firstRow="1" w:lastRow="0" w:firstColumn="1" w:lastColumn="0" w:noHBand="0" w:noVBand="1"/>
      </w:tblPr>
      <w:tblGrid>
        <w:gridCol w:w="2235"/>
        <w:gridCol w:w="2550"/>
      </w:tblGrid>
      <w:tr w:rsidR="00F45B13" w14:paraId="47C8B07B" w14:textId="77777777" w:rsidTr="002D758F">
        <w:trPr>
          <w:jc w:val="center"/>
        </w:trPr>
        <w:tc>
          <w:tcPr>
            <w:tcW w:w="2235" w:type="dxa"/>
          </w:tcPr>
          <w:p w14:paraId="6B59D41D" w14:textId="7D5F4D75" w:rsidR="00F45B13" w:rsidRDefault="00F45B13" w:rsidP="00F45B13">
            <w:pPr>
              <w:jc w:val="center"/>
              <w:rPr>
                <w:rFonts w:asciiTheme="minorHAnsi" w:hAnsiTheme="minorHAnsi"/>
              </w:rPr>
            </w:pPr>
            <w:r>
              <w:rPr>
                <w:rFonts w:asciiTheme="minorHAnsi" w:hAnsiTheme="minorHAnsi"/>
              </w:rPr>
              <w:t>Name</w:t>
            </w:r>
          </w:p>
        </w:tc>
        <w:tc>
          <w:tcPr>
            <w:tcW w:w="2550" w:type="dxa"/>
          </w:tcPr>
          <w:p w14:paraId="702B4A27" w14:textId="7B292115" w:rsidR="00F45B13" w:rsidRDefault="00F45B13" w:rsidP="00F45B13">
            <w:pPr>
              <w:jc w:val="center"/>
              <w:rPr>
                <w:rFonts w:asciiTheme="minorHAnsi" w:hAnsiTheme="minorHAnsi"/>
              </w:rPr>
            </w:pPr>
            <w:r>
              <w:rPr>
                <w:rFonts w:asciiTheme="minorHAnsi" w:hAnsiTheme="minorHAnsi"/>
              </w:rPr>
              <w:t>Company</w:t>
            </w:r>
          </w:p>
        </w:tc>
      </w:tr>
      <w:tr w:rsidR="00F45B13" w14:paraId="59ED26BB" w14:textId="77777777" w:rsidTr="002D758F">
        <w:trPr>
          <w:jc w:val="center"/>
        </w:trPr>
        <w:tc>
          <w:tcPr>
            <w:tcW w:w="2235" w:type="dxa"/>
          </w:tcPr>
          <w:p w14:paraId="79273154" w14:textId="3FE258C7" w:rsidR="00F45B13" w:rsidRDefault="00F45B13" w:rsidP="00F45B13">
            <w:pPr>
              <w:jc w:val="center"/>
              <w:rPr>
                <w:rFonts w:asciiTheme="minorHAnsi" w:hAnsiTheme="minorHAnsi"/>
              </w:rPr>
            </w:pPr>
            <w:r>
              <w:rPr>
                <w:rFonts w:asciiTheme="minorHAnsi" w:hAnsiTheme="minorHAnsi"/>
              </w:rPr>
              <w:t>Graeme Cousland</w:t>
            </w:r>
          </w:p>
        </w:tc>
        <w:tc>
          <w:tcPr>
            <w:tcW w:w="2550" w:type="dxa"/>
          </w:tcPr>
          <w:p w14:paraId="6F9C4AC4" w14:textId="545244FD" w:rsidR="00F45B13" w:rsidRDefault="00F45B13" w:rsidP="00F45B13">
            <w:pPr>
              <w:jc w:val="center"/>
              <w:rPr>
                <w:rFonts w:asciiTheme="minorHAnsi" w:hAnsiTheme="minorHAnsi"/>
              </w:rPr>
            </w:pPr>
            <w:r>
              <w:rPr>
                <w:rFonts w:asciiTheme="minorHAnsi" w:hAnsiTheme="minorHAnsi"/>
              </w:rPr>
              <w:t>BC Envirotec</w:t>
            </w:r>
          </w:p>
        </w:tc>
      </w:tr>
      <w:tr w:rsidR="00F45B13" w14:paraId="13C7A47D" w14:textId="77777777" w:rsidTr="002D758F">
        <w:trPr>
          <w:jc w:val="center"/>
        </w:trPr>
        <w:tc>
          <w:tcPr>
            <w:tcW w:w="2235" w:type="dxa"/>
          </w:tcPr>
          <w:p w14:paraId="79F3B291" w14:textId="751C883E" w:rsidR="00F45B13" w:rsidRDefault="00F45B13" w:rsidP="00F45B13">
            <w:pPr>
              <w:jc w:val="center"/>
              <w:rPr>
                <w:rFonts w:asciiTheme="minorHAnsi" w:hAnsiTheme="minorHAnsi"/>
              </w:rPr>
            </w:pPr>
            <w:r>
              <w:rPr>
                <w:rFonts w:asciiTheme="minorHAnsi" w:hAnsiTheme="minorHAnsi"/>
              </w:rPr>
              <w:t>Herbert Lee</w:t>
            </w:r>
          </w:p>
        </w:tc>
        <w:tc>
          <w:tcPr>
            <w:tcW w:w="2550" w:type="dxa"/>
          </w:tcPr>
          <w:p w14:paraId="15164E54" w14:textId="0B1930D8" w:rsidR="00F45B13" w:rsidRDefault="00F45B13" w:rsidP="00F45B13">
            <w:pPr>
              <w:jc w:val="center"/>
              <w:rPr>
                <w:rFonts w:asciiTheme="minorHAnsi" w:hAnsiTheme="minorHAnsi"/>
              </w:rPr>
            </w:pPr>
            <w:r>
              <w:rPr>
                <w:rFonts w:asciiTheme="minorHAnsi" w:hAnsiTheme="minorHAnsi"/>
              </w:rPr>
              <w:t>Chemetics</w:t>
            </w:r>
          </w:p>
        </w:tc>
      </w:tr>
      <w:tr w:rsidR="00F45B13" w14:paraId="3A4E97CD" w14:textId="77777777" w:rsidTr="002D758F">
        <w:trPr>
          <w:jc w:val="center"/>
        </w:trPr>
        <w:tc>
          <w:tcPr>
            <w:tcW w:w="2235" w:type="dxa"/>
          </w:tcPr>
          <w:p w14:paraId="6CFE1D2F" w14:textId="5C9CAB41" w:rsidR="00F45B13" w:rsidRDefault="00F45B13" w:rsidP="00F45B13">
            <w:pPr>
              <w:jc w:val="center"/>
              <w:rPr>
                <w:rFonts w:asciiTheme="minorHAnsi" w:hAnsiTheme="minorHAnsi"/>
              </w:rPr>
            </w:pPr>
            <w:r>
              <w:rPr>
                <w:rFonts w:asciiTheme="minorHAnsi" w:hAnsiTheme="minorHAnsi"/>
              </w:rPr>
              <w:t>Bill Goodall</w:t>
            </w:r>
          </w:p>
        </w:tc>
        <w:tc>
          <w:tcPr>
            <w:tcW w:w="2550" w:type="dxa"/>
          </w:tcPr>
          <w:p w14:paraId="6BB282BE" w14:textId="250125D3" w:rsidR="00F45B13" w:rsidRDefault="00F45B13" w:rsidP="00F45B13">
            <w:pPr>
              <w:jc w:val="center"/>
              <w:rPr>
                <w:rFonts w:asciiTheme="minorHAnsi" w:hAnsiTheme="minorHAnsi"/>
              </w:rPr>
            </w:pPr>
            <w:r>
              <w:rPr>
                <w:rFonts w:asciiTheme="minorHAnsi" w:hAnsiTheme="minorHAnsi"/>
              </w:rPr>
              <w:t>Topsoe</w:t>
            </w:r>
          </w:p>
        </w:tc>
      </w:tr>
      <w:tr w:rsidR="00F45B13" w14:paraId="1DB5CB6A" w14:textId="77777777" w:rsidTr="002D758F">
        <w:trPr>
          <w:jc w:val="center"/>
        </w:trPr>
        <w:tc>
          <w:tcPr>
            <w:tcW w:w="2235" w:type="dxa"/>
          </w:tcPr>
          <w:p w14:paraId="74227926" w14:textId="023AC670" w:rsidR="00F45B13" w:rsidRDefault="00F45B13" w:rsidP="00F45B13">
            <w:pPr>
              <w:jc w:val="center"/>
              <w:rPr>
                <w:rFonts w:asciiTheme="minorHAnsi" w:hAnsiTheme="minorHAnsi"/>
              </w:rPr>
            </w:pPr>
            <w:r>
              <w:rPr>
                <w:rFonts w:asciiTheme="minorHAnsi" w:hAnsiTheme="minorHAnsi"/>
              </w:rPr>
              <w:t>Rick Davis</w:t>
            </w:r>
          </w:p>
        </w:tc>
        <w:tc>
          <w:tcPr>
            <w:tcW w:w="2550" w:type="dxa"/>
          </w:tcPr>
          <w:p w14:paraId="698E934C" w14:textId="688ECCBB" w:rsidR="00F45B13" w:rsidRDefault="00F45B13" w:rsidP="00F45B13">
            <w:pPr>
              <w:jc w:val="center"/>
              <w:rPr>
                <w:rFonts w:asciiTheme="minorHAnsi" w:hAnsiTheme="minorHAnsi"/>
              </w:rPr>
            </w:pPr>
            <w:r>
              <w:rPr>
                <w:rFonts w:asciiTheme="minorHAnsi" w:hAnsiTheme="minorHAnsi"/>
              </w:rPr>
              <w:t>Davis and Associates</w:t>
            </w:r>
          </w:p>
        </w:tc>
      </w:tr>
    </w:tbl>
    <w:p w14:paraId="1D7B4117" w14:textId="77777777" w:rsidR="00F45B13" w:rsidRPr="00F45B13" w:rsidRDefault="00F45B13" w:rsidP="00F45B13">
      <w:pPr>
        <w:jc w:val="center"/>
        <w:rPr>
          <w:rFonts w:asciiTheme="minorHAnsi" w:hAnsiTheme="minorHAnsi"/>
        </w:rPr>
      </w:pPr>
    </w:p>
    <w:p w14:paraId="3BD79579" w14:textId="77777777" w:rsidR="004E55EE" w:rsidRDefault="004E55EE"/>
    <w:sectPr w:rsidR="004E5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13"/>
    <w:rsid w:val="002B4D51"/>
    <w:rsid w:val="002D758F"/>
    <w:rsid w:val="004E55EE"/>
    <w:rsid w:val="006B6DD5"/>
    <w:rsid w:val="006D44D2"/>
    <w:rsid w:val="00780352"/>
    <w:rsid w:val="00C828E4"/>
    <w:rsid w:val="00F4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2483"/>
  <w15:chartTrackingRefBased/>
  <w15:docId w15:val="{C2B8D217-F8F5-4EC4-9284-3F7B069A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B1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45B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B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5B1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B1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45B1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45B1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45B1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45B1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45B1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B13"/>
    <w:rPr>
      <w:rFonts w:eastAsiaTheme="majorEastAsia" w:cstheme="majorBidi"/>
      <w:color w:val="272727" w:themeColor="text1" w:themeTint="D8"/>
    </w:rPr>
  </w:style>
  <w:style w:type="paragraph" w:styleId="Title">
    <w:name w:val="Title"/>
    <w:basedOn w:val="Normal"/>
    <w:next w:val="Normal"/>
    <w:link w:val="TitleChar"/>
    <w:uiPriority w:val="10"/>
    <w:qFormat/>
    <w:rsid w:val="00F45B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5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B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B1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45B13"/>
    <w:rPr>
      <w:i/>
      <w:iCs/>
      <w:color w:val="404040" w:themeColor="text1" w:themeTint="BF"/>
    </w:rPr>
  </w:style>
  <w:style w:type="paragraph" w:styleId="ListParagraph">
    <w:name w:val="List Paragraph"/>
    <w:basedOn w:val="Normal"/>
    <w:uiPriority w:val="34"/>
    <w:qFormat/>
    <w:rsid w:val="00F45B1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45B13"/>
    <w:rPr>
      <w:i/>
      <w:iCs/>
      <w:color w:val="0F4761" w:themeColor="accent1" w:themeShade="BF"/>
    </w:rPr>
  </w:style>
  <w:style w:type="paragraph" w:styleId="IntenseQuote">
    <w:name w:val="Intense Quote"/>
    <w:basedOn w:val="Normal"/>
    <w:next w:val="Normal"/>
    <w:link w:val="IntenseQuoteChar"/>
    <w:uiPriority w:val="30"/>
    <w:qFormat/>
    <w:rsid w:val="00F45B1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45B13"/>
    <w:rPr>
      <w:i/>
      <w:iCs/>
      <w:color w:val="0F4761" w:themeColor="accent1" w:themeShade="BF"/>
    </w:rPr>
  </w:style>
  <w:style w:type="character" w:styleId="IntenseReference">
    <w:name w:val="Intense Reference"/>
    <w:basedOn w:val="DefaultParagraphFont"/>
    <w:uiPriority w:val="32"/>
    <w:qFormat/>
    <w:rsid w:val="00F45B13"/>
    <w:rPr>
      <w:b/>
      <w:bCs/>
      <w:smallCaps/>
      <w:color w:val="0F4761" w:themeColor="accent1" w:themeShade="BF"/>
      <w:spacing w:val="5"/>
    </w:rPr>
  </w:style>
  <w:style w:type="table" w:styleId="TableGrid">
    <w:name w:val="Table Grid"/>
    <w:basedOn w:val="TableNormal"/>
    <w:uiPriority w:val="39"/>
    <w:rsid w:val="00F4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44563">
      <w:bodyDiv w:val="1"/>
      <w:marLeft w:val="0"/>
      <w:marRight w:val="0"/>
      <w:marTop w:val="0"/>
      <w:marBottom w:val="0"/>
      <w:divBdr>
        <w:top w:val="none" w:sz="0" w:space="0" w:color="auto"/>
        <w:left w:val="none" w:sz="0" w:space="0" w:color="auto"/>
        <w:bottom w:val="none" w:sz="0" w:space="0" w:color="auto"/>
        <w:right w:val="none" w:sz="0" w:space="0" w:color="auto"/>
      </w:divBdr>
    </w:div>
    <w:div w:id="16877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3caf7-13b7-4a89-b44a-3967d45ba0a9}" enabled="0" method="" siteId="{1273caf7-13b7-4a89-b44a-3967d45ba0a9}"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 Michelle - New Wales</dc:creator>
  <cp:keywords/>
  <dc:description/>
  <cp:lastModifiedBy>Navar, Michelle - New Wales</cp:lastModifiedBy>
  <cp:revision>2</cp:revision>
  <dcterms:created xsi:type="dcterms:W3CDTF">2025-05-02T12:19:00Z</dcterms:created>
  <dcterms:modified xsi:type="dcterms:W3CDTF">2025-05-02T12:27:00Z</dcterms:modified>
</cp:coreProperties>
</file>