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5E51" w14:textId="77777777" w:rsidR="000A276A" w:rsidRDefault="000A276A" w:rsidP="004B0FFD">
      <w:pPr>
        <w:spacing w:after="0"/>
        <w:rPr>
          <w:b/>
          <w:sz w:val="28"/>
          <w:szCs w:val="20"/>
        </w:rPr>
      </w:pPr>
      <w:r w:rsidRPr="00381954">
        <w:rPr>
          <w:b/>
          <w:sz w:val="28"/>
          <w:szCs w:val="20"/>
        </w:rPr>
        <w:t xml:space="preserve">Session </w:t>
      </w:r>
      <w:r w:rsidR="000C035A">
        <w:rPr>
          <w:b/>
          <w:sz w:val="28"/>
          <w:szCs w:val="20"/>
        </w:rPr>
        <w:t>2</w:t>
      </w:r>
    </w:p>
    <w:p w14:paraId="23F4055F" w14:textId="77777777" w:rsidR="001E2A4D" w:rsidRPr="001E2A4D" w:rsidRDefault="001E2A4D" w:rsidP="004B0FFD">
      <w:pPr>
        <w:spacing w:after="0"/>
        <w:rPr>
          <w:b/>
          <w:sz w:val="20"/>
          <w:szCs w:val="20"/>
        </w:rPr>
      </w:pPr>
    </w:p>
    <w:tbl>
      <w:tblPr>
        <w:tblStyle w:val="TableGridLight1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797"/>
        <w:gridCol w:w="8461"/>
      </w:tblGrid>
      <w:tr w:rsidR="00902399" w:rsidRPr="00CB1141" w14:paraId="4AA5C8FC" w14:textId="77777777" w:rsidTr="00902399">
        <w:tc>
          <w:tcPr>
            <w:tcW w:w="822" w:type="dxa"/>
          </w:tcPr>
          <w:p w14:paraId="637ECCF9" w14:textId="363D8D73" w:rsidR="00902399" w:rsidRPr="00CB1141" w:rsidRDefault="00902399" w:rsidP="004D067C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7</w:t>
            </w:r>
            <w:r>
              <w:rPr>
                <w:b/>
                <w:szCs w:val="20"/>
              </w:rPr>
              <w:t>:30</w:t>
            </w:r>
          </w:p>
        </w:tc>
        <w:tc>
          <w:tcPr>
            <w:tcW w:w="797" w:type="dxa"/>
          </w:tcPr>
          <w:p w14:paraId="128A66E5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629A0B06" w14:textId="2C49AE4A" w:rsidR="00902399" w:rsidRPr="00CB1141" w:rsidRDefault="00902399" w:rsidP="004D06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Coffee, Juice, Pastries, Fruit</w:t>
            </w:r>
          </w:p>
        </w:tc>
      </w:tr>
      <w:tr w:rsidR="00902399" w:rsidRPr="00CB1141" w14:paraId="0E3028DC" w14:textId="77777777" w:rsidTr="00902399">
        <w:tc>
          <w:tcPr>
            <w:tcW w:w="822" w:type="dxa"/>
          </w:tcPr>
          <w:p w14:paraId="551C4349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384E3C42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2C6A89AB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</w:tr>
      <w:tr w:rsidR="00902399" w:rsidRPr="00CB1141" w14:paraId="657481AE" w14:textId="77777777" w:rsidTr="00902399">
        <w:tc>
          <w:tcPr>
            <w:tcW w:w="822" w:type="dxa"/>
          </w:tcPr>
          <w:p w14:paraId="689C3B30" w14:textId="3BB8EBBE" w:rsidR="00902399" w:rsidRPr="00CB1141" w:rsidRDefault="00902399" w:rsidP="004D067C">
            <w:pPr>
              <w:rPr>
                <w:b/>
                <w:szCs w:val="20"/>
              </w:rPr>
            </w:pPr>
            <w:r w:rsidRPr="00521F0C">
              <w:rPr>
                <w:b/>
                <w:szCs w:val="20"/>
              </w:rPr>
              <w:t>8</w:t>
            </w:r>
            <w:r>
              <w:rPr>
                <w:b/>
                <w:szCs w:val="20"/>
              </w:rPr>
              <w:t>:25</w:t>
            </w:r>
          </w:p>
        </w:tc>
        <w:tc>
          <w:tcPr>
            <w:tcW w:w="797" w:type="dxa"/>
          </w:tcPr>
          <w:p w14:paraId="4C979447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6E203A96" w14:textId="1F438F2A" w:rsidR="00902399" w:rsidRPr="00CB1141" w:rsidRDefault="00902399" w:rsidP="004D06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Welcome, Session Chair</w:t>
            </w:r>
          </w:p>
        </w:tc>
      </w:tr>
      <w:tr w:rsidR="00902399" w:rsidRPr="00CB1141" w14:paraId="29FB1EC7" w14:textId="77777777" w:rsidTr="00902399">
        <w:tc>
          <w:tcPr>
            <w:tcW w:w="822" w:type="dxa"/>
          </w:tcPr>
          <w:p w14:paraId="419FCD59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2A95A0B5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4942FD45" w14:textId="77777777" w:rsidR="00902399" w:rsidRPr="00CB1141" w:rsidRDefault="00902399" w:rsidP="004D067C">
            <w:pPr>
              <w:rPr>
                <w:b/>
                <w:szCs w:val="20"/>
              </w:rPr>
            </w:pPr>
          </w:p>
        </w:tc>
      </w:tr>
      <w:tr w:rsidR="00902399" w:rsidRPr="00521F0C" w14:paraId="0D977C18" w14:textId="77777777" w:rsidTr="00902399">
        <w:tc>
          <w:tcPr>
            <w:tcW w:w="822" w:type="dxa"/>
          </w:tcPr>
          <w:p w14:paraId="21D8828D" w14:textId="650F6A59" w:rsidR="00902399" w:rsidRPr="00521F0C" w:rsidRDefault="00902399" w:rsidP="004D067C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0A150EED" w14:textId="5AAE6E1C" w:rsidR="00902399" w:rsidRPr="00521F0C" w:rsidRDefault="00902399" w:rsidP="00F541E6">
            <w:pPr>
              <w:rPr>
                <w:b/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64EA5A4F" w14:textId="5312DD87" w:rsidR="00902399" w:rsidRPr="00F541E6" w:rsidRDefault="00902399" w:rsidP="00603AA8">
            <w:pPr>
              <w:rPr>
                <w:b/>
                <w:szCs w:val="20"/>
              </w:rPr>
            </w:pPr>
          </w:p>
        </w:tc>
      </w:tr>
      <w:tr w:rsidR="00902399" w:rsidRPr="00CB1141" w14:paraId="7C102830" w14:textId="77777777" w:rsidTr="00902399">
        <w:trPr>
          <w:trHeight w:val="162"/>
        </w:trPr>
        <w:tc>
          <w:tcPr>
            <w:tcW w:w="822" w:type="dxa"/>
          </w:tcPr>
          <w:p w14:paraId="07804DB5" w14:textId="1B6FC013" w:rsidR="00902399" w:rsidRPr="00521F0C" w:rsidRDefault="00902399" w:rsidP="004D067C">
            <w:pPr>
              <w:rPr>
                <w:szCs w:val="20"/>
              </w:rPr>
            </w:pPr>
            <w:r w:rsidRPr="00CB1141">
              <w:rPr>
                <w:b/>
                <w:szCs w:val="20"/>
              </w:rPr>
              <w:t>8:30</w:t>
            </w:r>
          </w:p>
        </w:tc>
        <w:tc>
          <w:tcPr>
            <w:tcW w:w="797" w:type="dxa"/>
          </w:tcPr>
          <w:p w14:paraId="6031D9F1" w14:textId="29284BB5" w:rsidR="00902399" w:rsidRPr="00521F0C" w:rsidRDefault="00902399" w:rsidP="004D067C">
            <w:pPr>
              <w:rPr>
                <w:szCs w:val="20"/>
              </w:rPr>
            </w:pPr>
            <w:r>
              <w:rPr>
                <w:b/>
                <w:szCs w:val="20"/>
              </w:rPr>
              <w:t>25.2.1</w:t>
            </w:r>
          </w:p>
        </w:tc>
        <w:tc>
          <w:tcPr>
            <w:tcW w:w="8461" w:type="dxa"/>
            <w:shd w:val="clear" w:color="auto" w:fill="auto"/>
          </w:tcPr>
          <w:p w14:paraId="7382CD70" w14:textId="09ED1814" w:rsidR="00902399" w:rsidRPr="00521F0C" w:rsidRDefault="00902399" w:rsidP="00FC29D2">
            <w:pPr>
              <w:rPr>
                <w:szCs w:val="20"/>
              </w:rPr>
            </w:pPr>
            <w:r w:rsidRPr="00F541E6">
              <w:rPr>
                <w:b/>
              </w:rPr>
              <w:t>Replacing an Internal Heat Exchanger</w:t>
            </w:r>
          </w:p>
        </w:tc>
      </w:tr>
      <w:tr w:rsidR="00902399" w:rsidRPr="00CB1141" w14:paraId="0F62B02B" w14:textId="77777777" w:rsidTr="00902399">
        <w:tc>
          <w:tcPr>
            <w:tcW w:w="822" w:type="dxa"/>
          </w:tcPr>
          <w:p w14:paraId="12E2A5DD" w14:textId="77777777" w:rsidR="00902399" w:rsidRPr="00CB1141" w:rsidRDefault="00902399" w:rsidP="004D067C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1C01BC78" w14:textId="77777777" w:rsidR="00902399" w:rsidRPr="00CB1141" w:rsidRDefault="00902399" w:rsidP="004D067C">
            <w:pPr>
              <w:rPr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09A80F61" w14:textId="67C16904" w:rsidR="00902399" w:rsidRPr="00CB1141" w:rsidRDefault="00902399" w:rsidP="004D067C">
            <w:pPr>
              <w:rPr>
                <w:szCs w:val="20"/>
              </w:rPr>
            </w:pPr>
            <w:r>
              <w:rPr>
                <w:szCs w:val="20"/>
              </w:rPr>
              <w:t xml:space="preserve">Tony Silva, </w:t>
            </w:r>
            <w:r>
              <w:t>Chemetics</w:t>
            </w:r>
          </w:p>
        </w:tc>
      </w:tr>
      <w:tr w:rsidR="00902399" w:rsidRPr="00CB1141" w14:paraId="06BD7051" w14:textId="77777777" w:rsidTr="00902399">
        <w:tc>
          <w:tcPr>
            <w:tcW w:w="822" w:type="dxa"/>
          </w:tcPr>
          <w:p w14:paraId="580D1060" w14:textId="01E6AFAD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083A19E8" w14:textId="09EE1E92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  <w:shd w:val="clear" w:color="auto" w:fill="auto"/>
          </w:tcPr>
          <w:p w14:paraId="38008364" w14:textId="0F178CA7" w:rsidR="00902399" w:rsidRPr="00F541E6" w:rsidRDefault="00902399" w:rsidP="00B0634E">
            <w:pPr>
              <w:rPr>
                <w:b/>
                <w:bCs/>
                <w:szCs w:val="20"/>
              </w:rPr>
            </w:pPr>
          </w:p>
        </w:tc>
      </w:tr>
      <w:tr w:rsidR="00902399" w:rsidRPr="00CB1141" w14:paraId="312A114D" w14:textId="77777777" w:rsidTr="00902399">
        <w:tc>
          <w:tcPr>
            <w:tcW w:w="822" w:type="dxa"/>
          </w:tcPr>
          <w:p w14:paraId="2C8A96DD" w14:textId="157BA353" w:rsidR="00902399" w:rsidRPr="00CB1141" w:rsidRDefault="00902399" w:rsidP="00B0634E">
            <w:pPr>
              <w:rPr>
                <w:szCs w:val="20"/>
              </w:rPr>
            </w:pPr>
            <w:r w:rsidRPr="00CB1141">
              <w:rPr>
                <w:szCs w:val="20"/>
              </w:rPr>
              <w:t>9:</w:t>
            </w:r>
            <w:r>
              <w:rPr>
                <w:szCs w:val="20"/>
              </w:rPr>
              <w:t>00</w:t>
            </w:r>
          </w:p>
        </w:tc>
        <w:tc>
          <w:tcPr>
            <w:tcW w:w="797" w:type="dxa"/>
          </w:tcPr>
          <w:p w14:paraId="5BCA620B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7E201DF4" w14:textId="72F21C6D" w:rsidR="00902399" w:rsidRPr="00521F0C" w:rsidRDefault="00902399" w:rsidP="00B0634E">
            <w:pPr>
              <w:rPr>
                <w:szCs w:val="20"/>
              </w:rPr>
            </w:pPr>
            <w:r w:rsidRPr="00CB1141">
              <w:rPr>
                <w:szCs w:val="20"/>
              </w:rPr>
              <w:t>Break</w:t>
            </w:r>
          </w:p>
        </w:tc>
      </w:tr>
      <w:tr w:rsidR="00902399" w:rsidRPr="00CB1141" w14:paraId="2AC5B82E" w14:textId="77777777" w:rsidTr="00902399">
        <w:tc>
          <w:tcPr>
            <w:tcW w:w="822" w:type="dxa"/>
          </w:tcPr>
          <w:p w14:paraId="35E693F6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69C707CD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13832F99" w14:textId="77777777" w:rsidR="00902399" w:rsidRPr="00CB1141" w:rsidRDefault="00902399" w:rsidP="00B0634E">
            <w:pPr>
              <w:rPr>
                <w:szCs w:val="20"/>
              </w:rPr>
            </w:pPr>
          </w:p>
        </w:tc>
      </w:tr>
      <w:tr w:rsidR="00902399" w:rsidRPr="00CB1141" w14:paraId="751C9D3C" w14:textId="77777777" w:rsidTr="00902399">
        <w:tc>
          <w:tcPr>
            <w:tcW w:w="822" w:type="dxa"/>
          </w:tcPr>
          <w:p w14:paraId="7E378E01" w14:textId="30EAD605" w:rsidR="00902399" w:rsidRPr="00CB1141" w:rsidRDefault="00902399" w:rsidP="00B0634E">
            <w:pPr>
              <w:rPr>
                <w:szCs w:val="20"/>
              </w:rPr>
            </w:pPr>
            <w:r w:rsidRPr="00CB1141">
              <w:rPr>
                <w:b/>
                <w:szCs w:val="20"/>
              </w:rPr>
              <w:t>9:</w:t>
            </w:r>
            <w:r>
              <w:rPr>
                <w:b/>
                <w:szCs w:val="20"/>
              </w:rPr>
              <w:t>15</w:t>
            </w:r>
          </w:p>
        </w:tc>
        <w:tc>
          <w:tcPr>
            <w:tcW w:w="797" w:type="dxa"/>
          </w:tcPr>
          <w:p w14:paraId="344FBFA4" w14:textId="3C213E68" w:rsidR="00902399" w:rsidRPr="00CB1141" w:rsidRDefault="00902399" w:rsidP="00B0634E">
            <w:pPr>
              <w:rPr>
                <w:szCs w:val="20"/>
              </w:rPr>
            </w:pPr>
            <w:r>
              <w:rPr>
                <w:b/>
                <w:szCs w:val="20"/>
              </w:rPr>
              <w:t>25.2.2</w:t>
            </w:r>
          </w:p>
        </w:tc>
        <w:tc>
          <w:tcPr>
            <w:tcW w:w="8461" w:type="dxa"/>
          </w:tcPr>
          <w:p w14:paraId="7277B30B" w14:textId="2D6002A1" w:rsidR="00902399" w:rsidRPr="00CB1141" w:rsidRDefault="00902399" w:rsidP="00B0634E">
            <w:pPr>
              <w:rPr>
                <w:szCs w:val="20"/>
              </w:rPr>
            </w:pPr>
            <w:r w:rsidRPr="00F541E6">
              <w:rPr>
                <w:b/>
              </w:rPr>
              <w:t>Optimizing Converter Performance with Catalyst Solutions</w:t>
            </w:r>
          </w:p>
        </w:tc>
      </w:tr>
      <w:tr w:rsidR="00902399" w:rsidRPr="00CB1141" w14:paraId="3F59132F" w14:textId="77777777" w:rsidTr="00902399">
        <w:tc>
          <w:tcPr>
            <w:tcW w:w="822" w:type="dxa"/>
          </w:tcPr>
          <w:p w14:paraId="65C90AE5" w14:textId="77777777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6CB3D605" w14:textId="77777777" w:rsidR="00902399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4A266E0F" w14:textId="57519D8C" w:rsidR="00902399" w:rsidRPr="002E1604" w:rsidRDefault="00902399" w:rsidP="00B0634E">
            <w:pPr>
              <w:rPr>
                <w:b/>
                <w:bCs/>
                <w:szCs w:val="20"/>
              </w:rPr>
            </w:pPr>
            <w:r>
              <w:t>Helen Cardwell</w:t>
            </w:r>
            <w:r>
              <w:rPr>
                <w:szCs w:val="20"/>
              </w:rPr>
              <w:t>,</w:t>
            </w:r>
            <w:r>
              <w:t xml:space="preserve"> Elessent/MECS</w:t>
            </w:r>
          </w:p>
        </w:tc>
      </w:tr>
      <w:tr w:rsidR="00902399" w:rsidRPr="00CB1141" w14:paraId="041C4F4E" w14:textId="77777777" w:rsidTr="00902399">
        <w:tc>
          <w:tcPr>
            <w:tcW w:w="822" w:type="dxa"/>
          </w:tcPr>
          <w:p w14:paraId="5741D4D4" w14:textId="7115F380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138EB24B" w14:textId="722B6810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645AA296" w14:textId="064423AE" w:rsidR="00902399" w:rsidRPr="00F541E6" w:rsidRDefault="00902399" w:rsidP="00B0634E">
            <w:pPr>
              <w:rPr>
                <w:b/>
                <w:szCs w:val="20"/>
              </w:rPr>
            </w:pPr>
          </w:p>
        </w:tc>
      </w:tr>
      <w:tr w:rsidR="00902399" w:rsidRPr="00CB1141" w14:paraId="238C7F74" w14:textId="77777777" w:rsidTr="00902399">
        <w:tc>
          <w:tcPr>
            <w:tcW w:w="822" w:type="dxa"/>
          </w:tcPr>
          <w:p w14:paraId="4D1B0BA6" w14:textId="7F19730B" w:rsidR="00902399" w:rsidRPr="00CB1141" w:rsidRDefault="00902399" w:rsidP="00B0634E">
            <w:pPr>
              <w:rPr>
                <w:szCs w:val="20"/>
              </w:rPr>
            </w:pPr>
            <w:r w:rsidRPr="00CB1141">
              <w:rPr>
                <w:b/>
                <w:szCs w:val="20"/>
              </w:rPr>
              <w:t>9:45</w:t>
            </w:r>
          </w:p>
        </w:tc>
        <w:tc>
          <w:tcPr>
            <w:tcW w:w="797" w:type="dxa"/>
          </w:tcPr>
          <w:p w14:paraId="219AAE82" w14:textId="3881C9EE" w:rsidR="00902399" w:rsidRPr="00CB1141" w:rsidRDefault="00902399" w:rsidP="00B0634E">
            <w:pPr>
              <w:rPr>
                <w:szCs w:val="20"/>
              </w:rPr>
            </w:pPr>
            <w:r>
              <w:rPr>
                <w:b/>
                <w:szCs w:val="20"/>
              </w:rPr>
              <w:t>25.</w:t>
            </w:r>
            <w:r w:rsidR="00152CAA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.4</w:t>
            </w:r>
          </w:p>
        </w:tc>
        <w:tc>
          <w:tcPr>
            <w:tcW w:w="8461" w:type="dxa"/>
          </w:tcPr>
          <w:p w14:paraId="4625647A" w14:textId="3E3DEEA1" w:rsidR="00902399" w:rsidRPr="00CB1D5F" w:rsidRDefault="00CB1D5F" w:rsidP="00B0634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You</w:t>
            </w:r>
            <w:r w:rsidR="00CB29FA">
              <w:rPr>
                <w:b/>
                <w:bCs/>
                <w:szCs w:val="20"/>
              </w:rPr>
              <w:t xml:space="preserve"> Can’t Always Get What </w:t>
            </w:r>
            <w:r w:rsidR="005F3238">
              <w:rPr>
                <w:b/>
                <w:bCs/>
                <w:szCs w:val="20"/>
              </w:rPr>
              <w:t>You Want: A Value Engineering Story</w:t>
            </w:r>
            <w:r w:rsidR="009E4BF0">
              <w:rPr>
                <w:b/>
                <w:bCs/>
                <w:szCs w:val="20"/>
              </w:rPr>
              <w:t xml:space="preserve"> (Go to Session 1)</w:t>
            </w:r>
          </w:p>
        </w:tc>
      </w:tr>
      <w:tr w:rsidR="00902399" w:rsidRPr="00CB1141" w14:paraId="111396EE" w14:textId="77777777" w:rsidTr="00902399">
        <w:tc>
          <w:tcPr>
            <w:tcW w:w="822" w:type="dxa"/>
          </w:tcPr>
          <w:p w14:paraId="60024487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520BE282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2CFD6B8C" w14:textId="7BE63871" w:rsidR="00902399" w:rsidRPr="00CB1141" w:rsidRDefault="009E4BF0" w:rsidP="00B0634E">
            <w:pPr>
              <w:rPr>
                <w:szCs w:val="20"/>
              </w:rPr>
            </w:pPr>
            <w:r>
              <w:t>Steven Puricelli and Guy Cooper</w:t>
            </w:r>
            <w:r w:rsidRPr="0023705E">
              <w:rPr>
                <w:bCs/>
                <w:szCs w:val="20"/>
              </w:rPr>
              <w:t>,</w:t>
            </w:r>
            <w:r w:rsidRPr="001D0C3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t>EXP</w:t>
            </w:r>
          </w:p>
        </w:tc>
      </w:tr>
      <w:tr w:rsidR="00902399" w:rsidRPr="00CB1141" w14:paraId="2553FB24" w14:textId="77777777" w:rsidTr="00902399">
        <w:tc>
          <w:tcPr>
            <w:tcW w:w="822" w:type="dxa"/>
          </w:tcPr>
          <w:p w14:paraId="3791DD5C" w14:textId="352F33F8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71E5F566" w14:textId="6EE98C47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1E04483C" w14:textId="10B7822C" w:rsidR="00902399" w:rsidRPr="00F541E6" w:rsidRDefault="00902399" w:rsidP="00B0634E">
            <w:pPr>
              <w:rPr>
                <w:b/>
                <w:szCs w:val="20"/>
              </w:rPr>
            </w:pPr>
          </w:p>
        </w:tc>
      </w:tr>
      <w:tr w:rsidR="00902399" w:rsidRPr="00CB1141" w14:paraId="65F01DA1" w14:textId="77777777" w:rsidTr="00902399">
        <w:tc>
          <w:tcPr>
            <w:tcW w:w="822" w:type="dxa"/>
          </w:tcPr>
          <w:p w14:paraId="21D669A6" w14:textId="6B09878E" w:rsidR="00902399" w:rsidRPr="00CB1141" w:rsidRDefault="00902399" w:rsidP="00B0634E">
            <w:pPr>
              <w:rPr>
                <w:szCs w:val="20"/>
              </w:rPr>
            </w:pPr>
            <w:r w:rsidRPr="00CB1141">
              <w:rPr>
                <w:b/>
                <w:szCs w:val="20"/>
              </w:rPr>
              <w:t xml:space="preserve">10:15 </w:t>
            </w:r>
          </w:p>
        </w:tc>
        <w:tc>
          <w:tcPr>
            <w:tcW w:w="797" w:type="dxa"/>
          </w:tcPr>
          <w:p w14:paraId="399FC96A" w14:textId="67A24DEA" w:rsidR="00902399" w:rsidRPr="00CB1141" w:rsidRDefault="00902399" w:rsidP="00B0634E">
            <w:pPr>
              <w:rPr>
                <w:szCs w:val="20"/>
              </w:rPr>
            </w:pPr>
            <w:r>
              <w:rPr>
                <w:b/>
                <w:szCs w:val="20"/>
              </w:rPr>
              <w:t>25.2.5</w:t>
            </w:r>
          </w:p>
        </w:tc>
        <w:tc>
          <w:tcPr>
            <w:tcW w:w="8461" w:type="dxa"/>
          </w:tcPr>
          <w:p w14:paraId="41FEC59E" w14:textId="42418C53" w:rsidR="00902399" w:rsidRPr="0023705E" w:rsidRDefault="00902399" w:rsidP="00B0634E">
            <w:pPr>
              <w:rPr>
                <w:szCs w:val="20"/>
              </w:rPr>
            </w:pPr>
            <w:r w:rsidRPr="00513C44">
              <w:rPr>
                <w:b/>
              </w:rPr>
              <w:t>Acid Plant Ducting Design</w:t>
            </w:r>
          </w:p>
        </w:tc>
      </w:tr>
      <w:tr w:rsidR="00902399" w:rsidRPr="00CB1141" w14:paraId="2E753611" w14:textId="77777777" w:rsidTr="00902399">
        <w:tc>
          <w:tcPr>
            <w:tcW w:w="822" w:type="dxa"/>
          </w:tcPr>
          <w:p w14:paraId="47ADA485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6B8D65E5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2A8AEB64" w14:textId="67B12025" w:rsidR="00902399" w:rsidRPr="00CB1141" w:rsidRDefault="00902399" w:rsidP="00B0634E">
            <w:pPr>
              <w:rPr>
                <w:szCs w:val="20"/>
              </w:rPr>
            </w:pPr>
            <w:r>
              <w:t>Randal Sarrazin and Werner Vorster</w:t>
            </w:r>
            <w:r w:rsidRPr="0023705E">
              <w:rPr>
                <w:bCs/>
                <w:szCs w:val="20"/>
              </w:rPr>
              <w:t xml:space="preserve">, </w:t>
            </w:r>
            <w:r>
              <w:t>Noram</w:t>
            </w:r>
          </w:p>
        </w:tc>
      </w:tr>
      <w:tr w:rsidR="00902399" w:rsidRPr="00CB1141" w14:paraId="48D31C3B" w14:textId="77777777" w:rsidTr="00902399">
        <w:tc>
          <w:tcPr>
            <w:tcW w:w="822" w:type="dxa"/>
          </w:tcPr>
          <w:p w14:paraId="61A802BD" w14:textId="112B1D09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057E0154" w14:textId="3E05A3D5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4E059FDF" w14:textId="796AF9BE" w:rsidR="00902399" w:rsidRPr="00513C44" w:rsidRDefault="00902399" w:rsidP="00B0634E">
            <w:pPr>
              <w:rPr>
                <w:b/>
                <w:szCs w:val="20"/>
              </w:rPr>
            </w:pPr>
          </w:p>
        </w:tc>
      </w:tr>
      <w:tr w:rsidR="00902399" w:rsidRPr="00CB1141" w14:paraId="5FEB420A" w14:textId="77777777" w:rsidTr="00902399">
        <w:tc>
          <w:tcPr>
            <w:tcW w:w="822" w:type="dxa"/>
          </w:tcPr>
          <w:p w14:paraId="65EEE4B0" w14:textId="17FBE649" w:rsidR="00902399" w:rsidRPr="00CB1141" w:rsidRDefault="00902399" w:rsidP="00B0634E">
            <w:pPr>
              <w:rPr>
                <w:szCs w:val="20"/>
              </w:rPr>
            </w:pPr>
            <w:r w:rsidRPr="004F71AE">
              <w:rPr>
                <w:szCs w:val="20"/>
              </w:rPr>
              <w:t>10:45</w:t>
            </w:r>
          </w:p>
        </w:tc>
        <w:tc>
          <w:tcPr>
            <w:tcW w:w="797" w:type="dxa"/>
          </w:tcPr>
          <w:p w14:paraId="18C82B4D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5FA471DF" w14:textId="77777777" w:rsidR="00902399" w:rsidRDefault="00902399" w:rsidP="00B0634E">
            <w:pPr>
              <w:rPr>
                <w:szCs w:val="20"/>
              </w:rPr>
            </w:pPr>
            <w:r>
              <w:rPr>
                <w:szCs w:val="20"/>
              </w:rPr>
              <w:t>Break</w:t>
            </w:r>
          </w:p>
          <w:p w14:paraId="5231EA02" w14:textId="35BE4687" w:rsidR="00902399" w:rsidRPr="0023705E" w:rsidRDefault="00902399" w:rsidP="00B0634E">
            <w:pPr>
              <w:rPr>
                <w:szCs w:val="20"/>
              </w:rPr>
            </w:pPr>
          </w:p>
        </w:tc>
      </w:tr>
      <w:tr w:rsidR="00902399" w:rsidRPr="00CB1141" w14:paraId="4CE0CD89" w14:textId="77777777" w:rsidTr="00902399">
        <w:tc>
          <w:tcPr>
            <w:tcW w:w="822" w:type="dxa"/>
          </w:tcPr>
          <w:p w14:paraId="5F516860" w14:textId="42B16721" w:rsidR="00902399" w:rsidRPr="00CB1141" w:rsidRDefault="00902399" w:rsidP="00B0634E">
            <w:pPr>
              <w:rPr>
                <w:szCs w:val="20"/>
              </w:rPr>
            </w:pPr>
            <w:r w:rsidRPr="00AB0E1C">
              <w:rPr>
                <w:b/>
                <w:szCs w:val="20"/>
              </w:rPr>
              <w:t>11:</w:t>
            </w:r>
            <w:r>
              <w:rPr>
                <w:b/>
                <w:szCs w:val="20"/>
              </w:rPr>
              <w:t>0</w:t>
            </w:r>
            <w:r w:rsidRPr="00AB0E1C">
              <w:rPr>
                <w:b/>
                <w:szCs w:val="20"/>
              </w:rPr>
              <w:t>0</w:t>
            </w:r>
          </w:p>
        </w:tc>
        <w:tc>
          <w:tcPr>
            <w:tcW w:w="797" w:type="dxa"/>
          </w:tcPr>
          <w:p w14:paraId="511E168C" w14:textId="2ACE4524" w:rsidR="00902399" w:rsidRPr="00CB1141" w:rsidRDefault="00902399" w:rsidP="00B0634E">
            <w:pPr>
              <w:rPr>
                <w:szCs w:val="20"/>
              </w:rPr>
            </w:pPr>
            <w:r w:rsidRPr="00AB0E1C">
              <w:rPr>
                <w:b/>
                <w:szCs w:val="20"/>
              </w:rPr>
              <w:t>25.</w:t>
            </w:r>
            <w:r>
              <w:rPr>
                <w:b/>
                <w:szCs w:val="20"/>
              </w:rPr>
              <w:t>2</w:t>
            </w:r>
            <w:r w:rsidRPr="00AB0E1C">
              <w:rPr>
                <w:b/>
                <w:szCs w:val="20"/>
              </w:rPr>
              <w:t>.6</w:t>
            </w:r>
          </w:p>
        </w:tc>
        <w:tc>
          <w:tcPr>
            <w:tcW w:w="8461" w:type="dxa"/>
          </w:tcPr>
          <w:p w14:paraId="0A53D360" w14:textId="463F3BFC" w:rsidR="00902399" w:rsidRPr="00CB1141" w:rsidRDefault="00902399" w:rsidP="00B0634E">
            <w:pPr>
              <w:rPr>
                <w:b/>
                <w:szCs w:val="20"/>
              </w:rPr>
            </w:pPr>
            <w:r w:rsidRPr="00513C44">
              <w:rPr>
                <w:b/>
              </w:rPr>
              <w:t>Improving Energy Recovering and Unlocking Value with MECS HRS Technology</w:t>
            </w:r>
          </w:p>
        </w:tc>
      </w:tr>
      <w:tr w:rsidR="00902399" w:rsidRPr="00CB1141" w14:paraId="2FF3D2E1" w14:textId="77777777" w:rsidTr="00902399">
        <w:tc>
          <w:tcPr>
            <w:tcW w:w="822" w:type="dxa"/>
          </w:tcPr>
          <w:p w14:paraId="6739DB6E" w14:textId="02ED1E73" w:rsidR="00902399" w:rsidRPr="004F71AE" w:rsidRDefault="00902399" w:rsidP="00B0634E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31A402EC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7C10EA27" w14:textId="5DB5C478" w:rsidR="00902399" w:rsidRPr="005F36E9" w:rsidRDefault="00902399" w:rsidP="00B0634E">
            <w:pPr>
              <w:rPr>
                <w:szCs w:val="20"/>
              </w:rPr>
            </w:pPr>
            <w:r>
              <w:t>Colin Shore</w:t>
            </w:r>
            <w:r>
              <w:rPr>
                <w:szCs w:val="20"/>
              </w:rPr>
              <w:t xml:space="preserve"> ,</w:t>
            </w:r>
            <w:r>
              <w:t xml:space="preserve"> Elessent/MECS</w:t>
            </w:r>
          </w:p>
        </w:tc>
      </w:tr>
      <w:tr w:rsidR="00902399" w:rsidRPr="00CB1141" w14:paraId="09742B50" w14:textId="77777777" w:rsidTr="00902399">
        <w:tc>
          <w:tcPr>
            <w:tcW w:w="822" w:type="dxa"/>
          </w:tcPr>
          <w:p w14:paraId="20BB97AE" w14:textId="213F0D42" w:rsidR="00902399" w:rsidRPr="00AB0E1C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57B6BEFC" w14:textId="0AEC6968" w:rsidR="00902399" w:rsidRPr="00AB0E1C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18C99C0C" w14:textId="2A9478C0" w:rsidR="00902399" w:rsidRPr="00513C44" w:rsidRDefault="00902399" w:rsidP="00B0634E">
            <w:pPr>
              <w:rPr>
                <w:b/>
                <w:szCs w:val="20"/>
              </w:rPr>
            </w:pPr>
          </w:p>
        </w:tc>
      </w:tr>
      <w:tr w:rsidR="00902399" w:rsidRPr="00CB1141" w14:paraId="5D294ED3" w14:textId="77777777" w:rsidTr="00902399">
        <w:tc>
          <w:tcPr>
            <w:tcW w:w="822" w:type="dxa"/>
          </w:tcPr>
          <w:p w14:paraId="48AE6352" w14:textId="1CE9198C" w:rsidR="00902399" w:rsidRPr="00714123" w:rsidRDefault="00902399" w:rsidP="00B0634E">
            <w:pPr>
              <w:rPr>
                <w:szCs w:val="20"/>
              </w:rPr>
            </w:pPr>
            <w:r w:rsidRPr="00CB1141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CB1141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>3</w:t>
            </w:r>
            <w:r w:rsidRPr="00CB1141">
              <w:rPr>
                <w:b/>
                <w:szCs w:val="20"/>
              </w:rPr>
              <w:t xml:space="preserve">0 </w:t>
            </w:r>
          </w:p>
        </w:tc>
        <w:tc>
          <w:tcPr>
            <w:tcW w:w="797" w:type="dxa"/>
          </w:tcPr>
          <w:p w14:paraId="652510A9" w14:textId="3585C163" w:rsidR="00902399" w:rsidRPr="00CB1141" w:rsidRDefault="00902399" w:rsidP="00B0634E">
            <w:pPr>
              <w:rPr>
                <w:szCs w:val="20"/>
              </w:rPr>
            </w:pPr>
            <w:r>
              <w:rPr>
                <w:b/>
                <w:szCs w:val="20"/>
              </w:rPr>
              <w:t>25</w:t>
            </w:r>
            <w:r w:rsidRPr="0065331A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>2</w:t>
            </w:r>
            <w:r w:rsidRPr="0065331A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8461" w:type="dxa"/>
            <w:vAlign w:val="center"/>
          </w:tcPr>
          <w:p w14:paraId="59FD155C" w14:textId="5514A83D" w:rsidR="00902399" w:rsidRPr="00CB1141" w:rsidRDefault="00902399" w:rsidP="00B0634E">
            <w:pPr>
              <w:rPr>
                <w:szCs w:val="20"/>
              </w:rPr>
            </w:pPr>
            <w:r w:rsidRPr="00513C44">
              <w:rPr>
                <w:b/>
              </w:rPr>
              <w:t>Towards a New Level in Performance with Selection of Catalyst Geometric Shape</w:t>
            </w:r>
          </w:p>
        </w:tc>
      </w:tr>
      <w:tr w:rsidR="00902399" w:rsidRPr="00CB1141" w14:paraId="61F29D80" w14:textId="77777777" w:rsidTr="00902399">
        <w:tc>
          <w:tcPr>
            <w:tcW w:w="822" w:type="dxa"/>
          </w:tcPr>
          <w:p w14:paraId="14C1DDC8" w14:textId="77777777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6C65EF0F" w14:textId="77777777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1D911580" w14:textId="14871703" w:rsidR="00902399" w:rsidRPr="00CB1141" w:rsidRDefault="00902399" w:rsidP="00B0634E">
            <w:pPr>
              <w:rPr>
                <w:b/>
                <w:szCs w:val="20"/>
              </w:rPr>
            </w:pPr>
            <w:r>
              <w:t>Allison Belgard</w:t>
            </w:r>
            <w:r w:rsidRPr="0023705E">
              <w:rPr>
                <w:bCs/>
                <w:szCs w:val="20"/>
              </w:rPr>
              <w:t>,</w:t>
            </w:r>
            <w:r>
              <w:t xml:space="preserve"> BASF</w:t>
            </w:r>
          </w:p>
        </w:tc>
      </w:tr>
      <w:tr w:rsidR="00902399" w:rsidRPr="00CB1141" w14:paraId="20ADA36D" w14:textId="77777777" w:rsidTr="00902399">
        <w:tc>
          <w:tcPr>
            <w:tcW w:w="822" w:type="dxa"/>
          </w:tcPr>
          <w:p w14:paraId="339114B6" w14:textId="1D8A8251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5FD46275" w14:textId="65B6280D" w:rsidR="00902399" w:rsidRPr="0065331A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71D20242" w14:textId="182B77A2" w:rsidR="00902399" w:rsidRPr="00513C44" w:rsidRDefault="00902399" w:rsidP="00B0634E">
            <w:pPr>
              <w:rPr>
                <w:b/>
              </w:rPr>
            </w:pPr>
          </w:p>
        </w:tc>
      </w:tr>
      <w:tr w:rsidR="00902399" w:rsidRPr="00CB1141" w14:paraId="28BE2849" w14:textId="77777777" w:rsidTr="00902399">
        <w:tc>
          <w:tcPr>
            <w:tcW w:w="822" w:type="dxa"/>
          </w:tcPr>
          <w:p w14:paraId="40635368" w14:textId="56992D75" w:rsidR="00902399" w:rsidRPr="00CB1141" w:rsidRDefault="00902399" w:rsidP="00B0634E">
            <w:pPr>
              <w:rPr>
                <w:b/>
                <w:szCs w:val="20"/>
              </w:rPr>
            </w:pPr>
            <w:r w:rsidRPr="00CB1141">
              <w:rPr>
                <w:b/>
                <w:szCs w:val="20"/>
              </w:rPr>
              <w:t>12:</w:t>
            </w:r>
            <w:r>
              <w:rPr>
                <w:b/>
                <w:szCs w:val="20"/>
              </w:rPr>
              <w:t>0</w:t>
            </w:r>
            <w:r w:rsidRPr="00CB1141">
              <w:rPr>
                <w:b/>
                <w:szCs w:val="20"/>
              </w:rPr>
              <w:t>0</w:t>
            </w:r>
          </w:p>
        </w:tc>
        <w:tc>
          <w:tcPr>
            <w:tcW w:w="797" w:type="dxa"/>
          </w:tcPr>
          <w:p w14:paraId="3D838935" w14:textId="4D71D6C4" w:rsidR="00902399" w:rsidRPr="00CB1141" w:rsidRDefault="00902399" w:rsidP="00B0634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25.2.8</w:t>
            </w:r>
          </w:p>
        </w:tc>
        <w:tc>
          <w:tcPr>
            <w:tcW w:w="8461" w:type="dxa"/>
          </w:tcPr>
          <w:p w14:paraId="7A339A94" w14:textId="42C400F3" w:rsidR="00902399" w:rsidRPr="0023705E" w:rsidRDefault="00902399" w:rsidP="00B0634E">
            <w:pPr>
              <w:rPr>
                <w:szCs w:val="20"/>
              </w:rPr>
            </w:pPr>
            <w:r w:rsidRPr="00513C44">
              <w:rPr>
                <w:b/>
              </w:rPr>
              <w:t>Using Alternative Materials in High Corrosion Zones of an Adiabatic Gas Cooler</w:t>
            </w:r>
          </w:p>
        </w:tc>
      </w:tr>
      <w:tr w:rsidR="00902399" w:rsidRPr="00CB1141" w14:paraId="03BF3289" w14:textId="77777777" w:rsidTr="00902399">
        <w:tc>
          <w:tcPr>
            <w:tcW w:w="822" w:type="dxa"/>
          </w:tcPr>
          <w:p w14:paraId="74654E87" w14:textId="77777777" w:rsidR="00902399" w:rsidRDefault="00902399" w:rsidP="00B0634E">
            <w:pPr>
              <w:rPr>
                <w:szCs w:val="20"/>
              </w:rPr>
            </w:pPr>
          </w:p>
          <w:p w14:paraId="6D829297" w14:textId="77777777" w:rsidR="00902399" w:rsidRDefault="00902399" w:rsidP="00B0634E">
            <w:pPr>
              <w:rPr>
                <w:szCs w:val="20"/>
              </w:rPr>
            </w:pPr>
          </w:p>
          <w:p w14:paraId="221C5090" w14:textId="453EAD4E" w:rsidR="00902399" w:rsidRPr="00CB1141" w:rsidRDefault="00902399" w:rsidP="00B0634E">
            <w:pPr>
              <w:rPr>
                <w:szCs w:val="20"/>
              </w:rPr>
            </w:pPr>
            <w:r w:rsidRPr="00F61888">
              <w:rPr>
                <w:b/>
                <w:bCs/>
                <w:szCs w:val="20"/>
              </w:rPr>
              <w:t>12:30</w:t>
            </w:r>
          </w:p>
        </w:tc>
        <w:tc>
          <w:tcPr>
            <w:tcW w:w="797" w:type="dxa"/>
          </w:tcPr>
          <w:p w14:paraId="334B6833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8461" w:type="dxa"/>
          </w:tcPr>
          <w:p w14:paraId="108B6C52" w14:textId="77777777" w:rsidR="00902399" w:rsidRDefault="00902399" w:rsidP="00B0634E">
            <w:r>
              <w:t>CG Thermal</w:t>
            </w:r>
          </w:p>
          <w:p w14:paraId="4FC7373E" w14:textId="77777777" w:rsidR="00902399" w:rsidRDefault="00902399" w:rsidP="00B0634E"/>
          <w:p w14:paraId="289F1ADE" w14:textId="205EB822" w:rsidR="00902399" w:rsidRPr="00F61888" w:rsidRDefault="00902399" w:rsidP="00B0634E">
            <w:pPr>
              <w:rPr>
                <w:b/>
                <w:bCs/>
              </w:rPr>
            </w:pPr>
            <w:r w:rsidRPr="00F61888">
              <w:rPr>
                <w:b/>
                <w:bCs/>
              </w:rPr>
              <w:t>End of Year Remarks, Engineer of the Year Award Presentation</w:t>
            </w:r>
            <w:r w:rsidR="00066B97">
              <w:rPr>
                <w:b/>
                <w:bCs/>
              </w:rPr>
              <w:t xml:space="preserve"> (Go to Session 1)</w:t>
            </w:r>
          </w:p>
          <w:p w14:paraId="6EE935BB" w14:textId="77777777" w:rsidR="00902399" w:rsidRPr="00CB1141" w:rsidRDefault="00902399" w:rsidP="00B0634E">
            <w:pPr>
              <w:rPr>
                <w:szCs w:val="20"/>
              </w:rPr>
            </w:pPr>
          </w:p>
        </w:tc>
      </w:tr>
      <w:tr w:rsidR="00902399" w:rsidRPr="00CB1141" w14:paraId="44351CCC" w14:textId="77777777" w:rsidTr="00902399">
        <w:tc>
          <w:tcPr>
            <w:tcW w:w="822" w:type="dxa"/>
          </w:tcPr>
          <w:p w14:paraId="59025EF3" w14:textId="7AD68C37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4B017E6C" w14:textId="13CE0475" w:rsidR="00902399" w:rsidRPr="0065331A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135BCF87" w14:textId="618DB453" w:rsidR="00902399" w:rsidRPr="00513C44" w:rsidRDefault="00902399" w:rsidP="00B0634E">
            <w:pPr>
              <w:rPr>
                <w:b/>
                <w:szCs w:val="20"/>
              </w:rPr>
            </w:pPr>
          </w:p>
        </w:tc>
      </w:tr>
      <w:tr w:rsidR="00902399" w:rsidRPr="00CB1141" w14:paraId="79BC2F08" w14:textId="77777777" w:rsidTr="00902399">
        <w:tc>
          <w:tcPr>
            <w:tcW w:w="822" w:type="dxa"/>
          </w:tcPr>
          <w:p w14:paraId="449EA523" w14:textId="144BBA5C" w:rsidR="00902399" w:rsidRPr="00F61888" w:rsidRDefault="00902399" w:rsidP="00B0634E">
            <w:pPr>
              <w:rPr>
                <w:b/>
                <w:bCs/>
                <w:szCs w:val="20"/>
              </w:rPr>
            </w:pPr>
          </w:p>
        </w:tc>
        <w:tc>
          <w:tcPr>
            <w:tcW w:w="797" w:type="dxa"/>
          </w:tcPr>
          <w:p w14:paraId="15320031" w14:textId="77777777" w:rsidR="00902399" w:rsidRPr="0065331A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3A3E0E6D" w14:textId="2994358A" w:rsidR="00902399" w:rsidRPr="00AB0E1C" w:rsidRDefault="00902399" w:rsidP="00B0634E">
            <w:pPr>
              <w:rPr>
                <w:szCs w:val="20"/>
              </w:rPr>
            </w:pPr>
          </w:p>
        </w:tc>
      </w:tr>
      <w:tr w:rsidR="00902399" w:rsidRPr="00CB1141" w14:paraId="5963EDB2" w14:textId="77777777" w:rsidTr="00902399">
        <w:tc>
          <w:tcPr>
            <w:tcW w:w="822" w:type="dxa"/>
          </w:tcPr>
          <w:p w14:paraId="43653207" w14:textId="77777777" w:rsidR="00902399" w:rsidRPr="00CB1141" w:rsidRDefault="00902399" w:rsidP="00B0634E">
            <w:pPr>
              <w:rPr>
                <w:szCs w:val="20"/>
              </w:rPr>
            </w:pPr>
          </w:p>
        </w:tc>
        <w:tc>
          <w:tcPr>
            <w:tcW w:w="797" w:type="dxa"/>
          </w:tcPr>
          <w:p w14:paraId="1C3D1495" w14:textId="77777777" w:rsidR="00902399" w:rsidRPr="0065331A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6E4B4A07" w14:textId="77777777" w:rsidR="00902399" w:rsidRPr="00CB1141" w:rsidRDefault="00902399" w:rsidP="00B0634E">
            <w:pPr>
              <w:rPr>
                <w:b/>
                <w:szCs w:val="20"/>
              </w:rPr>
            </w:pPr>
          </w:p>
        </w:tc>
      </w:tr>
      <w:tr w:rsidR="00902399" w:rsidRPr="00CB1141" w14:paraId="15D99AAC" w14:textId="77777777" w:rsidTr="00902399">
        <w:tc>
          <w:tcPr>
            <w:tcW w:w="822" w:type="dxa"/>
          </w:tcPr>
          <w:p w14:paraId="69A2A8F1" w14:textId="28458BC5" w:rsidR="00902399" w:rsidRPr="00AB0E1C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2038193E" w14:textId="77777777" w:rsidR="00902399" w:rsidRPr="0065331A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232D2462" w14:textId="50CB749D" w:rsidR="00902399" w:rsidRPr="00CB1141" w:rsidRDefault="00902399" w:rsidP="00B0634E">
            <w:pPr>
              <w:rPr>
                <w:szCs w:val="20"/>
              </w:rPr>
            </w:pPr>
          </w:p>
        </w:tc>
      </w:tr>
      <w:tr w:rsidR="00902399" w:rsidRPr="00CB1141" w14:paraId="0EB72E4D" w14:textId="77777777" w:rsidTr="00902399">
        <w:trPr>
          <w:trHeight w:val="180"/>
        </w:trPr>
        <w:tc>
          <w:tcPr>
            <w:tcW w:w="822" w:type="dxa"/>
          </w:tcPr>
          <w:p w14:paraId="580F6E82" w14:textId="77777777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797" w:type="dxa"/>
          </w:tcPr>
          <w:p w14:paraId="630F49A4" w14:textId="77777777" w:rsidR="00902399" w:rsidRPr="00CB1141" w:rsidRDefault="00902399" w:rsidP="00B0634E">
            <w:pPr>
              <w:rPr>
                <w:b/>
                <w:szCs w:val="20"/>
              </w:rPr>
            </w:pPr>
          </w:p>
        </w:tc>
        <w:tc>
          <w:tcPr>
            <w:tcW w:w="8461" w:type="dxa"/>
          </w:tcPr>
          <w:p w14:paraId="5C88FF4E" w14:textId="0F0FCB27" w:rsidR="00902399" w:rsidRPr="00CB1141" w:rsidRDefault="00902399" w:rsidP="00B0634E">
            <w:pPr>
              <w:rPr>
                <w:b/>
                <w:szCs w:val="20"/>
              </w:rPr>
            </w:pPr>
          </w:p>
        </w:tc>
      </w:tr>
    </w:tbl>
    <w:p w14:paraId="24780715" w14:textId="77777777" w:rsidR="003F1DDB" w:rsidRPr="00CB1141" w:rsidRDefault="003F1DDB" w:rsidP="0054271B">
      <w:pPr>
        <w:spacing w:after="0"/>
        <w:rPr>
          <w:b/>
          <w:szCs w:val="20"/>
        </w:rPr>
      </w:pPr>
    </w:p>
    <w:sectPr w:rsidR="003F1DDB" w:rsidRPr="00CB1141" w:rsidSect="00894FF7">
      <w:headerReference w:type="default" r:id="rId7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9B2A" w14:textId="77777777" w:rsidR="00576BE7" w:rsidRDefault="00576BE7" w:rsidP="00381954">
      <w:pPr>
        <w:spacing w:after="0" w:line="240" w:lineRule="auto"/>
      </w:pPr>
      <w:r>
        <w:separator/>
      </w:r>
    </w:p>
  </w:endnote>
  <w:endnote w:type="continuationSeparator" w:id="0">
    <w:p w14:paraId="37A91B4B" w14:textId="77777777" w:rsidR="00576BE7" w:rsidRDefault="00576BE7" w:rsidP="0038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0E5B" w14:textId="77777777" w:rsidR="00576BE7" w:rsidRDefault="00576BE7" w:rsidP="00381954">
      <w:pPr>
        <w:spacing w:after="0" w:line="240" w:lineRule="auto"/>
      </w:pPr>
      <w:r>
        <w:separator/>
      </w:r>
    </w:p>
  </w:footnote>
  <w:footnote w:type="continuationSeparator" w:id="0">
    <w:p w14:paraId="329CF3EE" w14:textId="77777777" w:rsidR="00576BE7" w:rsidRDefault="00576BE7" w:rsidP="0038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B5D2" w14:textId="77777777" w:rsidR="00381954" w:rsidRPr="003666F0" w:rsidRDefault="00390DDD" w:rsidP="00381954">
    <w:pPr>
      <w:spacing w:line="240" w:lineRule="auto"/>
      <w:contextualSpacing/>
      <w:rPr>
        <w:rFonts w:cstheme="minorHAnsi"/>
        <w:sz w:val="32"/>
        <w:szCs w:val="32"/>
      </w:rPr>
    </w:pPr>
    <w:r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582E66C4" wp14:editId="072961CC">
          <wp:simplePos x="0" y="0"/>
          <wp:positionH relativeFrom="column">
            <wp:posOffset>38100</wp:posOffset>
          </wp:positionH>
          <wp:positionV relativeFrom="paragraph">
            <wp:posOffset>57150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HE_Central_Florida_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4EC77" w14:textId="77777777" w:rsidR="00381954" w:rsidRDefault="00381954" w:rsidP="00381954">
    <w:pPr>
      <w:spacing w:line="240" w:lineRule="auto"/>
      <w:contextualSpacing/>
      <w:jc w:val="center"/>
      <w:rPr>
        <w:rFonts w:cstheme="minorHAnsi"/>
        <w:sz w:val="32"/>
        <w:szCs w:val="32"/>
      </w:rPr>
    </w:pPr>
  </w:p>
  <w:p w14:paraId="15F06D65" w14:textId="77777777" w:rsidR="00381954" w:rsidRPr="003666F0" w:rsidRDefault="00381954" w:rsidP="00381954">
    <w:pPr>
      <w:spacing w:line="240" w:lineRule="auto"/>
      <w:contextualSpacing/>
      <w:jc w:val="center"/>
      <w:rPr>
        <w:rFonts w:cstheme="minorHAnsi"/>
        <w:sz w:val="32"/>
        <w:szCs w:val="32"/>
      </w:rPr>
    </w:pPr>
    <w:r w:rsidRPr="003666F0">
      <w:rPr>
        <w:rFonts w:cstheme="minorHAnsi"/>
        <w:sz w:val="32"/>
        <w:szCs w:val="32"/>
      </w:rPr>
      <w:t>Central Florida Section</w:t>
    </w:r>
  </w:p>
  <w:p w14:paraId="43A17F34" w14:textId="7FC420AD" w:rsidR="00381954" w:rsidRPr="003666F0" w:rsidRDefault="00390DDD" w:rsidP="00390DDD">
    <w:pPr>
      <w:tabs>
        <w:tab w:val="center" w:pos="5040"/>
      </w:tabs>
      <w:spacing w:line="240" w:lineRule="auto"/>
      <w:contextualSpacing/>
      <w:rPr>
        <w:rFonts w:cstheme="minorHAnsi"/>
        <w:sz w:val="16"/>
        <w:szCs w:val="16"/>
      </w:rPr>
    </w:pPr>
    <w:r>
      <w:rPr>
        <w:rFonts w:cstheme="minorHAnsi"/>
        <w:sz w:val="32"/>
        <w:szCs w:val="32"/>
      </w:rPr>
      <w:tab/>
    </w:r>
    <w:r w:rsidR="00381954" w:rsidRPr="003666F0">
      <w:rPr>
        <w:rFonts w:cstheme="minorHAnsi"/>
        <w:sz w:val="32"/>
        <w:szCs w:val="32"/>
      </w:rPr>
      <w:t>20</w:t>
    </w:r>
    <w:r w:rsidR="000969FC">
      <w:rPr>
        <w:rFonts w:cstheme="minorHAnsi"/>
        <w:sz w:val="32"/>
        <w:szCs w:val="32"/>
      </w:rPr>
      <w:t>2</w:t>
    </w:r>
    <w:r w:rsidR="004041C1">
      <w:rPr>
        <w:rFonts w:cstheme="minorHAnsi"/>
        <w:sz w:val="32"/>
        <w:szCs w:val="32"/>
      </w:rPr>
      <w:t>5</w:t>
    </w:r>
    <w:r w:rsidR="00381954" w:rsidRPr="003666F0">
      <w:rPr>
        <w:rFonts w:cstheme="minorHAnsi"/>
        <w:sz w:val="32"/>
        <w:szCs w:val="32"/>
      </w:rPr>
      <w:t xml:space="preserve"> </w:t>
    </w:r>
    <w:r w:rsidR="004041C1">
      <w:rPr>
        <w:rFonts w:cstheme="minorHAnsi"/>
        <w:sz w:val="32"/>
        <w:szCs w:val="32"/>
      </w:rPr>
      <w:t>St Pete Beach</w:t>
    </w:r>
    <w:r w:rsidR="00381954" w:rsidRPr="003666F0">
      <w:rPr>
        <w:rFonts w:cstheme="minorHAnsi"/>
        <w:sz w:val="32"/>
        <w:szCs w:val="32"/>
      </w:rPr>
      <w:t xml:space="preserve"> Con</w:t>
    </w:r>
    <w:r w:rsidR="008025E7">
      <w:rPr>
        <w:rFonts w:cstheme="minorHAnsi"/>
        <w:sz w:val="32"/>
        <w:szCs w:val="32"/>
      </w:rPr>
      <w:t>ference</w:t>
    </w:r>
  </w:p>
  <w:p w14:paraId="2599BA9E" w14:textId="77777777" w:rsidR="00381954" w:rsidRPr="001E2A4D" w:rsidRDefault="00374F80" w:rsidP="00381954">
    <w:pPr>
      <w:pBdr>
        <w:top w:val="single" w:sz="4" w:space="1" w:color="auto"/>
      </w:pBdr>
      <w:spacing w:before="120" w:after="120" w:line="240" w:lineRule="auto"/>
      <w:contextualSpacing/>
      <w:jc w:val="right"/>
      <w:rPr>
        <w:rFonts w:cstheme="minorHAnsi"/>
      </w:rPr>
    </w:pPr>
    <w:r>
      <w:rPr>
        <w:rFonts w:cstheme="minorHAnsi"/>
      </w:rPr>
      <w:t xml:space="preserve">June </w:t>
    </w:r>
    <w:r w:rsidR="004041C1">
      <w:rPr>
        <w:rFonts w:cstheme="minorHAnsi"/>
      </w:rPr>
      <w:t>7</w:t>
    </w:r>
    <w:r w:rsidR="00381954" w:rsidRPr="001E2A4D">
      <w:rPr>
        <w:rFonts w:cstheme="minorHAnsi"/>
        <w:vertAlign w:val="superscript"/>
      </w:rPr>
      <w:t>th</w:t>
    </w:r>
    <w:r>
      <w:rPr>
        <w:rFonts w:cstheme="minorHAnsi"/>
      </w:rPr>
      <w:t>, 20</w:t>
    </w:r>
    <w:r w:rsidR="000969FC">
      <w:rPr>
        <w:rFonts w:cstheme="minorHAnsi"/>
      </w:rPr>
      <w:t>2</w:t>
    </w:r>
    <w:r w:rsidR="004041C1">
      <w:rPr>
        <w:rFonts w:cstheme="minorHAn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76A"/>
    <w:rsid w:val="0000758D"/>
    <w:rsid w:val="0001228E"/>
    <w:rsid w:val="00014695"/>
    <w:rsid w:val="000301B9"/>
    <w:rsid w:val="00034844"/>
    <w:rsid w:val="00066B97"/>
    <w:rsid w:val="00074268"/>
    <w:rsid w:val="00094735"/>
    <w:rsid w:val="000969FC"/>
    <w:rsid w:val="000A276A"/>
    <w:rsid w:val="000C035A"/>
    <w:rsid w:val="000D7CBC"/>
    <w:rsid w:val="000F3CA0"/>
    <w:rsid w:val="00103473"/>
    <w:rsid w:val="0011093D"/>
    <w:rsid w:val="00133225"/>
    <w:rsid w:val="001333D5"/>
    <w:rsid w:val="00152CAA"/>
    <w:rsid w:val="00176580"/>
    <w:rsid w:val="001867D2"/>
    <w:rsid w:val="001D0C33"/>
    <w:rsid w:val="001E2A4D"/>
    <w:rsid w:val="001F25EC"/>
    <w:rsid w:val="0023705E"/>
    <w:rsid w:val="00262FCA"/>
    <w:rsid w:val="00266213"/>
    <w:rsid w:val="002A1ABD"/>
    <w:rsid w:val="002E1604"/>
    <w:rsid w:val="003169D4"/>
    <w:rsid w:val="00322A39"/>
    <w:rsid w:val="00334535"/>
    <w:rsid w:val="00357AFB"/>
    <w:rsid w:val="0036513A"/>
    <w:rsid w:val="00374F80"/>
    <w:rsid w:val="00376AC6"/>
    <w:rsid w:val="00381954"/>
    <w:rsid w:val="00381D3F"/>
    <w:rsid w:val="00390DDD"/>
    <w:rsid w:val="00392264"/>
    <w:rsid w:val="003962B3"/>
    <w:rsid w:val="003C753F"/>
    <w:rsid w:val="003D29E6"/>
    <w:rsid w:val="003D5A03"/>
    <w:rsid w:val="003F1DDB"/>
    <w:rsid w:val="003F73BA"/>
    <w:rsid w:val="0040353A"/>
    <w:rsid w:val="004041C1"/>
    <w:rsid w:val="00445E8F"/>
    <w:rsid w:val="00481294"/>
    <w:rsid w:val="004965E0"/>
    <w:rsid w:val="004B0FFD"/>
    <w:rsid w:val="004D067C"/>
    <w:rsid w:val="004D693E"/>
    <w:rsid w:val="004F71AE"/>
    <w:rsid w:val="00512380"/>
    <w:rsid w:val="00513C44"/>
    <w:rsid w:val="00517656"/>
    <w:rsid w:val="00521F0C"/>
    <w:rsid w:val="0054271B"/>
    <w:rsid w:val="00554060"/>
    <w:rsid w:val="0057151D"/>
    <w:rsid w:val="00576BE7"/>
    <w:rsid w:val="005846DE"/>
    <w:rsid w:val="00596515"/>
    <w:rsid w:val="005C6059"/>
    <w:rsid w:val="005F0A6E"/>
    <w:rsid w:val="005F3238"/>
    <w:rsid w:val="005F36E9"/>
    <w:rsid w:val="00603AA8"/>
    <w:rsid w:val="00646360"/>
    <w:rsid w:val="0065331A"/>
    <w:rsid w:val="00666145"/>
    <w:rsid w:val="00670E60"/>
    <w:rsid w:val="00681474"/>
    <w:rsid w:val="00693D4F"/>
    <w:rsid w:val="006D6964"/>
    <w:rsid w:val="006F5CC2"/>
    <w:rsid w:val="00707B62"/>
    <w:rsid w:val="00712517"/>
    <w:rsid w:val="00714123"/>
    <w:rsid w:val="00727A89"/>
    <w:rsid w:val="0074211F"/>
    <w:rsid w:val="0075353F"/>
    <w:rsid w:val="00775F89"/>
    <w:rsid w:val="00776B24"/>
    <w:rsid w:val="007D5A97"/>
    <w:rsid w:val="007D6C82"/>
    <w:rsid w:val="008025E7"/>
    <w:rsid w:val="00826536"/>
    <w:rsid w:val="00833BDA"/>
    <w:rsid w:val="00854DC1"/>
    <w:rsid w:val="00857932"/>
    <w:rsid w:val="00893E80"/>
    <w:rsid w:val="00894FF7"/>
    <w:rsid w:val="008969FE"/>
    <w:rsid w:val="008E5B89"/>
    <w:rsid w:val="00902399"/>
    <w:rsid w:val="00916976"/>
    <w:rsid w:val="009179E9"/>
    <w:rsid w:val="00937210"/>
    <w:rsid w:val="009451F4"/>
    <w:rsid w:val="00997B8F"/>
    <w:rsid w:val="009A01CF"/>
    <w:rsid w:val="009B5B1D"/>
    <w:rsid w:val="009D2B46"/>
    <w:rsid w:val="009E3722"/>
    <w:rsid w:val="009E4BF0"/>
    <w:rsid w:val="00A04682"/>
    <w:rsid w:val="00A108AE"/>
    <w:rsid w:val="00A132D2"/>
    <w:rsid w:val="00A30CEE"/>
    <w:rsid w:val="00A475D4"/>
    <w:rsid w:val="00A62FED"/>
    <w:rsid w:val="00A816B7"/>
    <w:rsid w:val="00AA3DAA"/>
    <w:rsid w:val="00AB0E1C"/>
    <w:rsid w:val="00AB2436"/>
    <w:rsid w:val="00AB3E06"/>
    <w:rsid w:val="00AE2C5E"/>
    <w:rsid w:val="00AE38E2"/>
    <w:rsid w:val="00AE4872"/>
    <w:rsid w:val="00AF49FE"/>
    <w:rsid w:val="00B0634E"/>
    <w:rsid w:val="00B33BA5"/>
    <w:rsid w:val="00B441B7"/>
    <w:rsid w:val="00B75861"/>
    <w:rsid w:val="00B85324"/>
    <w:rsid w:val="00BB236E"/>
    <w:rsid w:val="00BB4BAE"/>
    <w:rsid w:val="00BE210B"/>
    <w:rsid w:val="00C076A8"/>
    <w:rsid w:val="00C56F05"/>
    <w:rsid w:val="00C90160"/>
    <w:rsid w:val="00CB1141"/>
    <w:rsid w:val="00CB1D5F"/>
    <w:rsid w:val="00CB29FA"/>
    <w:rsid w:val="00CC6B19"/>
    <w:rsid w:val="00CF4706"/>
    <w:rsid w:val="00D2463E"/>
    <w:rsid w:val="00D32725"/>
    <w:rsid w:val="00D4219D"/>
    <w:rsid w:val="00D4604F"/>
    <w:rsid w:val="00D475F0"/>
    <w:rsid w:val="00D6213E"/>
    <w:rsid w:val="00D81E18"/>
    <w:rsid w:val="00DA57BE"/>
    <w:rsid w:val="00DA7B0C"/>
    <w:rsid w:val="00E057C1"/>
    <w:rsid w:val="00E43B42"/>
    <w:rsid w:val="00E52704"/>
    <w:rsid w:val="00F137FE"/>
    <w:rsid w:val="00F13E07"/>
    <w:rsid w:val="00F34C5B"/>
    <w:rsid w:val="00F541E6"/>
    <w:rsid w:val="00F61888"/>
    <w:rsid w:val="00F95721"/>
    <w:rsid w:val="00FB41A8"/>
    <w:rsid w:val="00FC29D2"/>
    <w:rsid w:val="00FC2FBE"/>
    <w:rsid w:val="00FC642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1E7A"/>
  <w15:docId w15:val="{12F4D8EA-8D02-4E2E-B0FC-F8A437E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179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8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54"/>
  </w:style>
  <w:style w:type="paragraph" w:styleId="Footer">
    <w:name w:val="footer"/>
    <w:basedOn w:val="Normal"/>
    <w:link w:val="FooterChar"/>
    <w:uiPriority w:val="99"/>
    <w:unhideWhenUsed/>
    <w:rsid w:val="0038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54"/>
  </w:style>
  <w:style w:type="character" w:styleId="Strong">
    <w:name w:val="Strong"/>
    <w:basedOn w:val="DefaultParagraphFont"/>
    <w:uiPriority w:val="22"/>
    <w:qFormat/>
    <w:rsid w:val="00FC2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46B4-5F94-4636-A327-B5F98DD46D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273caf7-13b7-4a89-b44a-3967d45ba0a9}" enabled="0" method="" siteId="{1273caf7-13b7-4a89-b44a-3967d45ba0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khamang1 on NWPBP5312</dc:creator>
  <cp:lastModifiedBy>Navar, Michelle - New Wales</cp:lastModifiedBy>
  <cp:revision>17</cp:revision>
  <dcterms:created xsi:type="dcterms:W3CDTF">2025-05-29T23:38:00Z</dcterms:created>
  <dcterms:modified xsi:type="dcterms:W3CDTF">2025-05-30T11:43:00Z</dcterms:modified>
</cp:coreProperties>
</file>