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8C9C" w14:textId="77777777" w:rsidR="009353F8" w:rsidRDefault="00000000">
      <w:pPr>
        <w:spacing w:after="193" w:line="259" w:lineRule="auto"/>
        <w:ind w:left="21" w:firstLine="0"/>
        <w:jc w:val="center"/>
      </w:pPr>
      <w:r>
        <w:rPr>
          <w:b/>
          <w:sz w:val="36"/>
        </w:rPr>
        <w:t>Terms &amp; Conditions</w:t>
      </w:r>
    </w:p>
    <w:p w14:paraId="0E03026F" w14:textId="77777777" w:rsidR="009353F8" w:rsidRDefault="00000000">
      <w:pPr>
        <w:ind w:left="-5"/>
      </w:pPr>
      <w:r>
        <w:t>Terms &amp; Conditions</w:t>
      </w:r>
    </w:p>
    <w:p w14:paraId="248113EC" w14:textId="1A5A599D" w:rsidR="009353F8" w:rsidRDefault="00000000">
      <w:pPr>
        <w:ind w:left="-5"/>
      </w:pPr>
      <w:r>
        <w:t xml:space="preserve">Effective Date: </w:t>
      </w:r>
      <w:r w:rsidR="0047366A">
        <w:t>8/25/2025</w:t>
      </w:r>
    </w:p>
    <w:p w14:paraId="06E61609" w14:textId="77777777" w:rsidR="009353F8" w:rsidRDefault="00000000">
      <w:pPr>
        <w:ind w:left="-5"/>
      </w:pPr>
      <w:r>
        <w:t>Entity: Ophir Prestige Digital LLC, d/b/a Ophir Prestige Digital Marketing Agency</w:t>
      </w:r>
    </w:p>
    <w:p w14:paraId="43E80DD1" w14:textId="77777777" w:rsidR="009353F8" w:rsidRDefault="00000000">
      <w:pPr>
        <w:ind w:left="-5"/>
      </w:pPr>
      <w:r>
        <w:t>("Ophir Prestige," "we," "our")</w:t>
      </w:r>
    </w:p>
    <w:p w14:paraId="3866EDC2" w14:textId="77777777" w:rsidR="009353F8" w:rsidRDefault="00000000">
      <w:pPr>
        <w:ind w:left="-5"/>
      </w:pPr>
      <w:r>
        <w:t>Governing Law: Minnesota, United States</w:t>
      </w:r>
    </w:p>
    <w:p w14:paraId="5FBBF55B" w14:textId="77777777" w:rsidR="009353F8" w:rsidRDefault="00000000">
      <w:pPr>
        <w:ind w:left="-5"/>
      </w:pPr>
      <w:r>
        <w:t>Contact: support@ophirprestigedigital.com</w:t>
      </w:r>
    </w:p>
    <w:p w14:paraId="48C081A5" w14:textId="77777777" w:rsidR="009353F8" w:rsidRDefault="00000000">
      <w:pPr>
        <w:ind w:left="-5"/>
      </w:pPr>
      <w:r>
        <w:t>1. Definitions</w:t>
      </w:r>
    </w:p>
    <w:p w14:paraId="1C3A6BC3" w14:textId="77777777" w:rsidR="009353F8" w:rsidRDefault="00000000">
      <w:pPr>
        <w:numPr>
          <w:ilvl w:val="0"/>
          <w:numId w:val="1"/>
        </w:numPr>
        <w:ind w:hanging="122"/>
      </w:pPr>
      <w:r>
        <w:t xml:space="preserve">Client: any individual or entity </w:t>
      </w:r>
      <w:proofErr w:type="gramStart"/>
      <w:r>
        <w:t>engaging</w:t>
      </w:r>
      <w:proofErr w:type="gramEnd"/>
      <w:r>
        <w:t xml:space="preserve"> our services.</w:t>
      </w:r>
    </w:p>
    <w:p w14:paraId="0844E2FF" w14:textId="77777777" w:rsidR="009353F8" w:rsidRDefault="00000000">
      <w:pPr>
        <w:numPr>
          <w:ilvl w:val="0"/>
          <w:numId w:val="1"/>
        </w:numPr>
        <w:ind w:hanging="122"/>
      </w:pPr>
      <w:r>
        <w:t>Services: marketing strategy, paid ads, funnel development, automation, consultation.</w:t>
      </w:r>
    </w:p>
    <w:p w14:paraId="55C50B3B" w14:textId="77777777" w:rsidR="009353F8" w:rsidRDefault="00000000">
      <w:pPr>
        <w:numPr>
          <w:ilvl w:val="0"/>
          <w:numId w:val="1"/>
        </w:numPr>
        <w:ind w:hanging="122"/>
      </w:pPr>
      <w:r>
        <w:t>Qualified Lead: (</w:t>
      </w:r>
      <w:proofErr w:type="spellStart"/>
      <w:r>
        <w:t>i</w:t>
      </w:r>
      <w:proofErr w:type="spellEnd"/>
      <w:r>
        <w:t xml:space="preserve">) decision-maker in client’s industry, (ii) located in agreed geography, (iii) budget </w:t>
      </w:r>
      <w:proofErr w:type="spellStart"/>
      <w:r>
        <w:t>of$X</w:t>
      </w:r>
      <w:proofErr w:type="spellEnd"/>
      <w:r>
        <w:t>+ or purchase intent within Y months, and (iv) reachable by phone/email with at least one successful contact attempt.</w:t>
      </w:r>
    </w:p>
    <w:p w14:paraId="034CB1ED" w14:textId="77777777" w:rsidR="009353F8" w:rsidRDefault="00000000">
      <w:pPr>
        <w:numPr>
          <w:ilvl w:val="0"/>
          <w:numId w:val="1"/>
        </w:numPr>
        <w:ind w:hanging="122"/>
      </w:pPr>
      <w:r>
        <w:t>Deliverables: client-specific ad creatives, copy, funnel pages created under contract.</w:t>
      </w:r>
    </w:p>
    <w:p w14:paraId="30527C42" w14:textId="77777777" w:rsidR="009353F8" w:rsidRDefault="00000000">
      <w:pPr>
        <w:numPr>
          <w:ilvl w:val="0"/>
          <w:numId w:val="1"/>
        </w:numPr>
        <w:ind w:hanging="122"/>
      </w:pPr>
      <w:r>
        <w:t xml:space="preserve">Background IP: templates, SOPs, frameworks, and tools developed by Ophir Prestige prior to </w:t>
      </w:r>
      <w:proofErr w:type="spellStart"/>
      <w:r>
        <w:t>oroutside</w:t>
      </w:r>
      <w:proofErr w:type="spellEnd"/>
      <w:r>
        <w:t xml:space="preserve"> client work.</w:t>
      </w:r>
    </w:p>
    <w:p w14:paraId="6775BB6E" w14:textId="77777777" w:rsidR="009353F8" w:rsidRDefault="00000000">
      <w:pPr>
        <w:numPr>
          <w:ilvl w:val="0"/>
          <w:numId w:val="2"/>
        </w:numPr>
        <w:ind w:hanging="222"/>
      </w:pPr>
      <w:r>
        <w:t>Scope of Services</w:t>
      </w:r>
    </w:p>
    <w:p w14:paraId="2AA4586F" w14:textId="77777777" w:rsidR="009353F8" w:rsidRDefault="00000000">
      <w:pPr>
        <w:ind w:left="-5"/>
      </w:pPr>
      <w:r>
        <w:t>Defined in each Statement of Work (SOW). Changes must be agreed in writing.</w:t>
      </w:r>
    </w:p>
    <w:p w14:paraId="7DE15C42" w14:textId="77777777" w:rsidR="009353F8" w:rsidRDefault="00000000">
      <w:pPr>
        <w:numPr>
          <w:ilvl w:val="0"/>
          <w:numId w:val="2"/>
        </w:numPr>
        <w:ind w:hanging="222"/>
      </w:pPr>
      <w:r>
        <w:t>Client Responsibilities</w:t>
      </w:r>
    </w:p>
    <w:p w14:paraId="499D4A2F" w14:textId="77777777" w:rsidR="009353F8" w:rsidRDefault="00000000">
      <w:pPr>
        <w:ind w:left="-5"/>
      </w:pPr>
      <w:proofErr w:type="gramStart"/>
      <w:r>
        <w:t>Client</w:t>
      </w:r>
      <w:proofErr w:type="gramEnd"/>
      <w:r>
        <w:t xml:space="preserve"> must provide timely access, accurate data, and compliance with laws. Client is responsible for truthfulness of advertising claims.</w:t>
      </w:r>
    </w:p>
    <w:p w14:paraId="3233D0CE" w14:textId="77777777" w:rsidR="009353F8" w:rsidRDefault="00000000">
      <w:pPr>
        <w:numPr>
          <w:ilvl w:val="0"/>
          <w:numId w:val="2"/>
        </w:numPr>
        <w:ind w:hanging="222"/>
      </w:pPr>
      <w:r>
        <w:t>Fees &amp; Payment</w:t>
      </w:r>
    </w:p>
    <w:p w14:paraId="08DE3F9D" w14:textId="77777777" w:rsidR="009353F8" w:rsidRDefault="00000000">
      <w:pPr>
        <w:numPr>
          <w:ilvl w:val="0"/>
          <w:numId w:val="3"/>
        </w:numPr>
        <w:ind w:hanging="122"/>
      </w:pPr>
      <w:proofErr w:type="gramStart"/>
      <w:r>
        <w:t>Setup</w:t>
      </w:r>
      <w:proofErr w:type="gramEnd"/>
      <w:r>
        <w:t xml:space="preserve"> fees are non-refundable.</w:t>
      </w:r>
    </w:p>
    <w:p w14:paraId="513B162B" w14:textId="77777777" w:rsidR="009353F8" w:rsidRDefault="00000000">
      <w:pPr>
        <w:numPr>
          <w:ilvl w:val="0"/>
          <w:numId w:val="3"/>
        </w:numPr>
        <w:ind w:hanging="122"/>
      </w:pPr>
      <w:r>
        <w:t xml:space="preserve">Monthly fees invoiced per agreement; due </w:t>
      </w:r>
      <w:proofErr w:type="spellStart"/>
      <w:proofErr w:type="gramStart"/>
      <w:r>
        <w:t>net</w:t>
      </w:r>
      <w:proofErr w:type="spellEnd"/>
      <w:proofErr w:type="gramEnd"/>
      <w:r>
        <w:t xml:space="preserve"> 10 days.</w:t>
      </w:r>
    </w:p>
    <w:p w14:paraId="62CE48EF" w14:textId="77777777" w:rsidR="009353F8" w:rsidRDefault="00000000">
      <w:pPr>
        <w:numPr>
          <w:ilvl w:val="0"/>
          <w:numId w:val="3"/>
        </w:numPr>
        <w:ind w:hanging="122"/>
      </w:pPr>
      <w:r>
        <w:t>Late fees: 1.5% per month on overdue balances.</w:t>
      </w:r>
    </w:p>
    <w:p w14:paraId="464C0585" w14:textId="1C2401C9" w:rsidR="00276714" w:rsidRDefault="00276714">
      <w:pPr>
        <w:numPr>
          <w:ilvl w:val="0"/>
          <w:numId w:val="3"/>
        </w:numPr>
        <w:ind w:hanging="122"/>
      </w:pPr>
      <w:r>
        <w:t>No/Late Payments might result in cancelation/termination of the provided services.</w:t>
      </w:r>
    </w:p>
    <w:p w14:paraId="1ED0E672" w14:textId="77777777" w:rsidR="009353F8" w:rsidRDefault="00000000">
      <w:pPr>
        <w:numPr>
          <w:ilvl w:val="0"/>
          <w:numId w:val="3"/>
        </w:numPr>
        <w:ind w:hanging="122"/>
      </w:pPr>
      <w:r>
        <w:t>Auto-debit authorization may be required.</w:t>
      </w:r>
    </w:p>
    <w:p w14:paraId="4F257349" w14:textId="77777777" w:rsidR="009353F8" w:rsidRDefault="00000000">
      <w:pPr>
        <w:numPr>
          <w:ilvl w:val="0"/>
          <w:numId w:val="3"/>
        </w:numPr>
        <w:ind w:hanging="122"/>
      </w:pPr>
      <w:proofErr w:type="gramStart"/>
      <w:r>
        <w:t>Client</w:t>
      </w:r>
      <w:proofErr w:type="gramEnd"/>
      <w:r>
        <w:t xml:space="preserve"> responsible for taxes, chargebacks, and third-party ad </w:t>
      </w:r>
      <w:proofErr w:type="gramStart"/>
      <w:r>
        <w:t>spend</w:t>
      </w:r>
      <w:proofErr w:type="gramEnd"/>
      <w:r>
        <w:t>.</w:t>
      </w:r>
    </w:p>
    <w:p w14:paraId="6AC4A97C" w14:textId="77777777" w:rsidR="009353F8" w:rsidRDefault="00000000">
      <w:pPr>
        <w:numPr>
          <w:ilvl w:val="0"/>
          <w:numId w:val="4"/>
        </w:numPr>
        <w:ind w:hanging="222"/>
      </w:pPr>
      <w:r>
        <w:t>Refund Policy</w:t>
      </w:r>
    </w:p>
    <w:p w14:paraId="15A6DE74" w14:textId="77777777" w:rsidR="009353F8" w:rsidRDefault="00000000">
      <w:pPr>
        <w:ind w:left="-5"/>
      </w:pPr>
      <w:r>
        <w:t xml:space="preserve">Monthly service fees </w:t>
      </w:r>
      <w:proofErr w:type="gramStart"/>
      <w:r>
        <w:t>refundable</w:t>
      </w:r>
      <w:proofErr w:type="gramEnd"/>
      <w:r>
        <w:t xml:space="preserve"> only if, within 30 days after launch, Ophir Prestige fails to deliver the defined number of Qualified Leads per SOW.</w:t>
      </w:r>
    </w:p>
    <w:p w14:paraId="3DB0CAE7" w14:textId="77777777" w:rsidR="009353F8" w:rsidRDefault="00000000">
      <w:pPr>
        <w:ind w:left="-5"/>
      </w:pPr>
      <w:r>
        <w:t>Paid media budgets are non-refundable.</w:t>
      </w:r>
    </w:p>
    <w:p w14:paraId="4264D3B0" w14:textId="77777777" w:rsidR="009353F8" w:rsidRDefault="00000000">
      <w:pPr>
        <w:numPr>
          <w:ilvl w:val="0"/>
          <w:numId w:val="4"/>
        </w:numPr>
        <w:ind w:hanging="222"/>
      </w:pPr>
      <w:r>
        <w:t>Term &amp; Termination</w:t>
      </w:r>
    </w:p>
    <w:p w14:paraId="3119E3A0" w14:textId="77777777" w:rsidR="009353F8" w:rsidRDefault="00000000">
      <w:pPr>
        <w:numPr>
          <w:ilvl w:val="0"/>
          <w:numId w:val="5"/>
        </w:numPr>
        <w:ind w:hanging="122"/>
      </w:pPr>
      <w:r>
        <w:t>Initial Term: 90 days from launch.</w:t>
      </w:r>
    </w:p>
    <w:p w14:paraId="493E3F0D" w14:textId="77777777" w:rsidR="009353F8" w:rsidRDefault="00000000">
      <w:pPr>
        <w:numPr>
          <w:ilvl w:val="0"/>
          <w:numId w:val="5"/>
        </w:numPr>
        <w:ind w:hanging="122"/>
      </w:pPr>
      <w:r>
        <w:t>Auto-renews month-to-month thereafter.</w:t>
      </w:r>
    </w:p>
    <w:p w14:paraId="7405ABF6" w14:textId="77777777" w:rsidR="009353F8" w:rsidRDefault="00000000">
      <w:pPr>
        <w:numPr>
          <w:ilvl w:val="0"/>
          <w:numId w:val="5"/>
        </w:numPr>
        <w:ind w:hanging="122"/>
      </w:pPr>
      <w:r>
        <w:t>Either party may terminate with 30 days’ written notice after Initial Term.</w:t>
      </w:r>
    </w:p>
    <w:p w14:paraId="18A2FF32" w14:textId="77777777" w:rsidR="009353F8" w:rsidRDefault="00000000">
      <w:pPr>
        <w:numPr>
          <w:ilvl w:val="0"/>
          <w:numId w:val="5"/>
        </w:numPr>
        <w:ind w:hanging="122"/>
      </w:pPr>
      <w:r>
        <w:lastRenderedPageBreak/>
        <w:t>Suspension after 7 days’ non-payment; termination after 15 days’ delinquency.</w:t>
      </w:r>
    </w:p>
    <w:p w14:paraId="4024DA56" w14:textId="77777777" w:rsidR="009353F8" w:rsidRDefault="00000000">
      <w:pPr>
        <w:numPr>
          <w:ilvl w:val="0"/>
          <w:numId w:val="5"/>
        </w:numPr>
        <w:ind w:hanging="122"/>
      </w:pPr>
      <w:r>
        <w:t>Immediate termination for fraud, unlawful content, or material breach.</w:t>
      </w:r>
    </w:p>
    <w:p w14:paraId="60D8DF6B" w14:textId="77777777" w:rsidR="009353F8" w:rsidRDefault="00000000">
      <w:pPr>
        <w:ind w:left="-5"/>
      </w:pPr>
      <w:r>
        <w:t>7. Intellectual Property</w:t>
      </w:r>
    </w:p>
    <w:p w14:paraId="7B000554" w14:textId="77777777" w:rsidR="009353F8" w:rsidRDefault="00000000">
      <w:pPr>
        <w:numPr>
          <w:ilvl w:val="0"/>
          <w:numId w:val="6"/>
        </w:numPr>
        <w:ind w:hanging="122"/>
      </w:pPr>
      <w:r>
        <w:t>Client owns Deliverables upon full payment.</w:t>
      </w:r>
    </w:p>
    <w:p w14:paraId="4AD95237" w14:textId="77777777" w:rsidR="009353F8" w:rsidRDefault="00000000">
      <w:pPr>
        <w:numPr>
          <w:ilvl w:val="0"/>
          <w:numId w:val="6"/>
        </w:numPr>
        <w:ind w:hanging="122"/>
      </w:pPr>
      <w:r>
        <w:t>Ophir Prestige retains Background IP.</w:t>
      </w:r>
    </w:p>
    <w:p w14:paraId="0E33D4A3" w14:textId="77777777" w:rsidR="009353F8" w:rsidRDefault="00000000">
      <w:pPr>
        <w:numPr>
          <w:ilvl w:val="0"/>
          <w:numId w:val="6"/>
        </w:numPr>
        <w:ind w:hanging="122"/>
      </w:pPr>
      <w:proofErr w:type="gramStart"/>
      <w:r>
        <w:t>Client receives</w:t>
      </w:r>
      <w:proofErr w:type="gramEnd"/>
      <w:r>
        <w:t xml:space="preserve"> perpetual, non-exclusive </w:t>
      </w:r>
      <w:proofErr w:type="gramStart"/>
      <w:r>
        <w:t>license</w:t>
      </w:r>
      <w:proofErr w:type="gramEnd"/>
      <w:r>
        <w:t xml:space="preserve"> to use Background IP solely with Deliverables.</w:t>
      </w:r>
    </w:p>
    <w:p w14:paraId="75711DB8" w14:textId="77777777" w:rsidR="009353F8" w:rsidRDefault="00000000">
      <w:pPr>
        <w:numPr>
          <w:ilvl w:val="0"/>
          <w:numId w:val="6"/>
        </w:numPr>
        <w:ind w:hanging="122"/>
      </w:pPr>
      <w:r>
        <w:t>Ophir Prestige may reuse anonymized, non-confidential know-how.</w:t>
      </w:r>
    </w:p>
    <w:p w14:paraId="0F8E1801" w14:textId="77777777" w:rsidR="009353F8" w:rsidRDefault="00000000">
      <w:pPr>
        <w:ind w:left="-5"/>
      </w:pPr>
      <w:r>
        <w:t>8. Confidentiality &amp; Indemnity</w:t>
      </w:r>
    </w:p>
    <w:p w14:paraId="593B9117" w14:textId="77777777" w:rsidR="009353F8" w:rsidRDefault="00000000">
      <w:pPr>
        <w:numPr>
          <w:ilvl w:val="0"/>
          <w:numId w:val="7"/>
        </w:numPr>
        <w:ind w:hanging="122"/>
      </w:pPr>
      <w:r>
        <w:t>Both parties must keep proprietary info confidential.</w:t>
      </w:r>
    </w:p>
    <w:p w14:paraId="5D39F812" w14:textId="77777777" w:rsidR="009353F8" w:rsidRDefault="00000000">
      <w:pPr>
        <w:numPr>
          <w:ilvl w:val="0"/>
          <w:numId w:val="7"/>
        </w:numPr>
        <w:ind w:hanging="122"/>
      </w:pPr>
      <w:r>
        <w:t>Client indemnifies Ophir Prestige for false claims, unlawful content, or regulatory violations.</w:t>
      </w:r>
    </w:p>
    <w:p w14:paraId="13EEA6C7" w14:textId="77777777" w:rsidR="009353F8" w:rsidRDefault="00000000">
      <w:pPr>
        <w:numPr>
          <w:ilvl w:val="0"/>
          <w:numId w:val="8"/>
        </w:numPr>
        <w:ind w:hanging="334"/>
      </w:pPr>
      <w:r>
        <w:t>Third-Party Platforms</w:t>
      </w:r>
    </w:p>
    <w:p w14:paraId="4580EAC6" w14:textId="77777777" w:rsidR="009353F8" w:rsidRDefault="00000000">
      <w:pPr>
        <w:ind w:left="-5"/>
      </w:pPr>
      <w:r>
        <w:t>We are not liable for disruptions, rejections, or bans by Meta, Google, or other platforms beyond best-efforts compliance.</w:t>
      </w:r>
    </w:p>
    <w:p w14:paraId="7DBB7688" w14:textId="77777777" w:rsidR="009353F8" w:rsidRDefault="00000000">
      <w:pPr>
        <w:numPr>
          <w:ilvl w:val="0"/>
          <w:numId w:val="8"/>
        </w:numPr>
        <w:ind w:hanging="334"/>
      </w:pPr>
      <w:r>
        <w:t>Limitation of Liability</w:t>
      </w:r>
    </w:p>
    <w:p w14:paraId="1BBF3FFC" w14:textId="77777777" w:rsidR="009353F8" w:rsidRDefault="00000000">
      <w:pPr>
        <w:ind w:left="-5"/>
      </w:pPr>
      <w:r>
        <w:t>Our liability is capped at fees paid in the month of the claim. No liability for indirect, incidental, or consequential damages.</w:t>
      </w:r>
    </w:p>
    <w:p w14:paraId="130674B3" w14:textId="77777777" w:rsidR="009353F8" w:rsidRDefault="00000000">
      <w:pPr>
        <w:numPr>
          <w:ilvl w:val="0"/>
          <w:numId w:val="8"/>
        </w:numPr>
        <w:ind w:hanging="334"/>
      </w:pPr>
      <w:r>
        <w:t>Dispute Resolution</w:t>
      </w:r>
    </w:p>
    <w:p w14:paraId="79B7BBCF" w14:textId="77777777" w:rsidR="009353F8" w:rsidRDefault="00000000">
      <w:pPr>
        <w:numPr>
          <w:ilvl w:val="0"/>
          <w:numId w:val="9"/>
        </w:numPr>
        <w:ind w:hanging="122"/>
      </w:pPr>
      <w:r>
        <w:t>Binding arbitration in Minnesota.</w:t>
      </w:r>
    </w:p>
    <w:p w14:paraId="18ACEAAA" w14:textId="77777777" w:rsidR="009353F8" w:rsidRDefault="00000000">
      <w:pPr>
        <w:numPr>
          <w:ilvl w:val="0"/>
          <w:numId w:val="9"/>
        </w:numPr>
        <w:ind w:hanging="122"/>
      </w:pPr>
      <w:r>
        <w:t>Venue: Hennepin County, MN.</w:t>
      </w:r>
    </w:p>
    <w:p w14:paraId="3CB335FA" w14:textId="77777777" w:rsidR="009353F8" w:rsidRDefault="00000000">
      <w:pPr>
        <w:numPr>
          <w:ilvl w:val="0"/>
          <w:numId w:val="9"/>
        </w:numPr>
        <w:ind w:hanging="122"/>
      </w:pPr>
      <w:r>
        <w:t>No class actions. Prevailing party entitled to attorneys’ fees.</w:t>
      </w:r>
    </w:p>
    <w:p w14:paraId="422A96D4" w14:textId="77777777" w:rsidR="009353F8" w:rsidRDefault="00000000">
      <w:pPr>
        <w:numPr>
          <w:ilvl w:val="0"/>
          <w:numId w:val="10"/>
        </w:numPr>
        <w:ind w:hanging="334"/>
      </w:pPr>
      <w:r>
        <w:t>Marketing Rights</w:t>
      </w:r>
    </w:p>
    <w:p w14:paraId="76E92924" w14:textId="77777777" w:rsidR="009353F8" w:rsidRDefault="00000000">
      <w:pPr>
        <w:ind w:left="-5"/>
      </w:pPr>
      <w:r>
        <w:t>We may use non-confidential results as case studies/portfolio, unless client opts out in writing.</w:t>
      </w:r>
    </w:p>
    <w:p w14:paraId="69DC3A05" w14:textId="77777777" w:rsidR="009353F8" w:rsidRDefault="00000000">
      <w:pPr>
        <w:numPr>
          <w:ilvl w:val="0"/>
          <w:numId w:val="10"/>
        </w:numPr>
        <w:ind w:hanging="334"/>
      </w:pPr>
      <w:r>
        <w:t>Force Majeure</w:t>
      </w:r>
    </w:p>
    <w:p w14:paraId="40AABA0B" w14:textId="77777777" w:rsidR="009353F8" w:rsidRDefault="00000000">
      <w:pPr>
        <w:ind w:left="-5"/>
      </w:pPr>
      <w:r>
        <w:t>We are not liable for delays/failures due to events beyond reasonable control.</w:t>
      </w:r>
    </w:p>
    <w:p w14:paraId="70B004DF" w14:textId="77777777" w:rsidR="009353F8" w:rsidRDefault="00000000">
      <w:pPr>
        <w:numPr>
          <w:ilvl w:val="0"/>
          <w:numId w:val="10"/>
        </w:numPr>
        <w:ind w:hanging="334"/>
      </w:pPr>
      <w:r>
        <w:t>Changes to Terms</w:t>
      </w:r>
    </w:p>
    <w:p w14:paraId="2BB7C6CA" w14:textId="77777777" w:rsidR="009353F8" w:rsidRDefault="00000000">
      <w:pPr>
        <w:ind w:left="-5"/>
      </w:pPr>
      <w:r>
        <w:t>We may update these Terms; continued use constitutes acceptance.</w:t>
      </w:r>
    </w:p>
    <w:sectPr w:rsidR="009353F8">
      <w:pgSz w:w="12240" w:h="15840"/>
      <w:pgMar w:top="1662" w:right="1581" w:bottom="159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30A"/>
    <w:multiLevelType w:val="hybridMultilevel"/>
    <w:tmpl w:val="D4E87326"/>
    <w:lvl w:ilvl="0" w:tplc="F7C4B99E">
      <w:start w:val="12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68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CAF1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C39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9E6E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AC6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438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4C3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0D5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A2FEA"/>
    <w:multiLevelType w:val="hybridMultilevel"/>
    <w:tmpl w:val="A9B4F88E"/>
    <w:lvl w:ilvl="0" w:tplc="14F453C4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EA6D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803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2D4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284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C7A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043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C3F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AE1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50A0C"/>
    <w:multiLevelType w:val="hybridMultilevel"/>
    <w:tmpl w:val="639A8172"/>
    <w:lvl w:ilvl="0" w:tplc="8838555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AFB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EB3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2F3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4D4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FCCC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C3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C48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4C2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750F9"/>
    <w:multiLevelType w:val="hybridMultilevel"/>
    <w:tmpl w:val="5C4A0C30"/>
    <w:lvl w:ilvl="0" w:tplc="133C3EF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76598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C11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85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C04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883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A4DE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090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0A8C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5325FA"/>
    <w:multiLevelType w:val="hybridMultilevel"/>
    <w:tmpl w:val="3CBEC928"/>
    <w:lvl w:ilvl="0" w:tplc="AAD09C88">
      <w:start w:val="9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038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D0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8F5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C5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65D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C2D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4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84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785B04"/>
    <w:multiLevelType w:val="hybridMultilevel"/>
    <w:tmpl w:val="EDE0414E"/>
    <w:lvl w:ilvl="0" w:tplc="AA1EF42C">
      <w:start w:val="5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A46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8BC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4E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438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85A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3B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C9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48B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76261"/>
    <w:multiLevelType w:val="hybridMultilevel"/>
    <w:tmpl w:val="DCBCD364"/>
    <w:lvl w:ilvl="0" w:tplc="48568E0E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44F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8D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24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08B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3251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20EA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7281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601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6C649A"/>
    <w:multiLevelType w:val="hybridMultilevel"/>
    <w:tmpl w:val="5BECD86A"/>
    <w:lvl w:ilvl="0" w:tplc="1B781C9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29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261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43D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C52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82D0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4600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4F2D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E4B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0A6401"/>
    <w:multiLevelType w:val="hybridMultilevel"/>
    <w:tmpl w:val="6D76B1EE"/>
    <w:lvl w:ilvl="0" w:tplc="9B40768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EBE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2DE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88B9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FC4C5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6B2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282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5868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2CF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D0EBB"/>
    <w:multiLevelType w:val="hybridMultilevel"/>
    <w:tmpl w:val="A90004B4"/>
    <w:lvl w:ilvl="0" w:tplc="AC70DB4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488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AAF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8C4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84E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BF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08E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EB5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4CE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830637">
    <w:abstractNumId w:val="7"/>
  </w:num>
  <w:num w:numId="2" w16cid:durableId="324553781">
    <w:abstractNumId w:val="6"/>
  </w:num>
  <w:num w:numId="3" w16cid:durableId="1320503548">
    <w:abstractNumId w:val="8"/>
  </w:num>
  <w:num w:numId="4" w16cid:durableId="464472744">
    <w:abstractNumId w:val="5"/>
  </w:num>
  <w:num w:numId="5" w16cid:durableId="486939281">
    <w:abstractNumId w:val="2"/>
  </w:num>
  <w:num w:numId="6" w16cid:durableId="222915721">
    <w:abstractNumId w:val="1"/>
  </w:num>
  <w:num w:numId="7" w16cid:durableId="1608734460">
    <w:abstractNumId w:val="3"/>
  </w:num>
  <w:num w:numId="8" w16cid:durableId="802500636">
    <w:abstractNumId w:val="4"/>
  </w:num>
  <w:num w:numId="9" w16cid:durableId="1173304368">
    <w:abstractNumId w:val="9"/>
  </w:num>
  <w:num w:numId="10" w16cid:durableId="2394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F8"/>
    <w:rsid w:val="00276714"/>
    <w:rsid w:val="0047366A"/>
    <w:rsid w:val="009353F8"/>
    <w:rsid w:val="00A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B984"/>
  <w15:docId w15:val="{67E24EFA-4109-494B-A665-424B1D3C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Ignatyev, Timofey</cp:lastModifiedBy>
  <cp:revision>2</cp:revision>
  <dcterms:created xsi:type="dcterms:W3CDTF">2025-08-26T19:41:00Z</dcterms:created>
  <dcterms:modified xsi:type="dcterms:W3CDTF">2025-08-26T19:41:00Z</dcterms:modified>
</cp:coreProperties>
</file>