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77" w:rsidRPr="00647884" w:rsidRDefault="00BD52A4" w:rsidP="00A66F2F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Nanoindentor</w:t>
      </w:r>
      <w:proofErr w:type="spellEnd"/>
      <w:r>
        <w:rPr>
          <w:b/>
          <w:sz w:val="36"/>
          <w:szCs w:val="36"/>
        </w:rPr>
        <w:t xml:space="preserve"> (Pro-</w:t>
      </w:r>
      <w:proofErr w:type="spellStart"/>
      <w:r>
        <w:rPr>
          <w:b/>
          <w:sz w:val="36"/>
          <w:szCs w:val="36"/>
        </w:rPr>
        <w:t>NanoEnviCz</w:t>
      </w:r>
      <w:proofErr w:type="spellEnd"/>
      <w:r>
        <w:rPr>
          <w:b/>
          <w:sz w:val="36"/>
          <w:szCs w:val="36"/>
        </w:rPr>
        <w:t xml:space="preserve"> II)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proofErr w:type="spellStart"/>
      <w:r w:rsidR="00BD52A4">
        <w:rPr>
          <w:b/>
          <w:lang w:val="cs-CZ"/>
        </w:rPr>
        <w:t>Nanoindentor</w:t>
      </w:r>
      <w:proofErr w:type="spellEnd"/>
      <w:r w:rsidR="00BD52A4">
        <w:rPr>
          <w:b/>
          <w:lang w:val="cs-CZ"/>
        </w:rPr>
        <w:t xml:space="preserve"> 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E95447">
        <w:rPr>
          <w:bCs/>
        </w:rPr>
        <w:t>UFCH</w:t>
      </w:r>
      <w:r w:rsidR="00DB6047">
        <w:rPr>
          <w:bCs/>
        </w:rPr>
        <w:t>2</w:t>
      </w:r>
      <w:r w:rsidR="00BD1FCF">
        <w:rPr>
          <w:bCs/>
        </w:rPr>
        <w:t>4</w:t>
      </w:r>
      <w:bookmarkStart w:id="0" w:name="_GoBack"/>
      <w:bookmarkEnd w:id="0"/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BD52A4">
        <w:rPr>
          <w:bCs/>
        </w:rPr>
        <w:t xml:space="preserve">Ing. J. </w:t>
      </w:r>
      <w:proofErr w:type="spellStart"/>
      <w:r w:rsidR="00BD52A4">
        <w:rPr>
          <w:bCs/>
        </w:rPr>
        <w:t>Rathouský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E95447">
        <w:rPr>
          <w:bCs/>
        </w:rPr>
        <w:t>Institute of Physical Chemistry of the CAS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E95447">
        <w:rPr>
          <w:bCs/>
        </w:rPr>
        <w:t>Dolejškova</w:t>
      </w:r>
      <w:proofErr w:type="spellEnd"/>
      <w:r w:rsidR="00E95447">
        <w:rPr>
          <w:bCs/>
        </w:rPr>
        <w:t xml:space="preserve"> 3, Prague 182 23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BD52A4">
        <w:rPr>
          <w:bCs/>
        </w:rPr>
        <w:t>jiri.rathousky@jh-inst.cas.cz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073239" w:rsidRPr="00073239">
        <w:t xml:space="preserve">(+420) </w:t>
      </w:r>
      <w:r w:rsidR="00E95447">
        <w:t xml:space="preserve">6605 </w:t>
      </w:r>
      <w:r w:rsidR="00BD52A4">
        <w:t>3945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C663FC" w:rsidRPr="00C663FC">
        <w:rPr>
          <w:bCs/>
        </w:rPr>
        <w:t>https://www.</w:t>
      </w:r>
      <w:r w:rsidR="00E95447">
        <w:rPr>
          <w:bCs/>
        </w:rPr>
        <w:t>jh-inst.cas.cz</w:t>
      </w:r>
    </w:p>
    <w:p w:rsidR="00250847" w:rsidRPr="00396353" w:rsidRDefault="00250847" w:rsidP="00A66F2F">
      <w:pPr>
        <w:rPr>
          <w:b/>
        </w:rPr>
      </w:pPr>
    </w:p>
    <w:p w:rsidR="00C663FC" w:rsidRPr="00BD52A4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B03FC3">
        <w:t>Dr</w:t>
      </w:r>
      <w:r w:rsidR="00BD52A4">
        <w:t xml:space="preserve">. Radek </w:t>
      </w:r>
      <w:proofErr w:type="spellStart"/>
      <w:r w:rsidR="00BD52A4">
        <w:t>Žouželka</w:t>
      </w:r>
      <w:proofErr w:type="spellEnd"/>
    </w:p>
    <w:p w:rsidR="00DB6047" w:rsidRDefault="0086289B" w:rsidP="00A66F2F">
      <w:pPr>
        <w:rPr>
          <w:b/>
        </w:rPr>
      </w:pPr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BD52A4" w:rsidRPr="00BD52A4">
        <w:t>radek.zouzelka@jh-inst.cas.cz</w:t>
      </w:r>
    </w:p>
    <w:p w:rsidR="00647884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BD52A4">
        <w:rPr>
          <w:b/>
        </w:rPr>
        <w:t xml:space="preserve">26605 </w:t>
      </w:r>
      <w:r w:rsidR="005E55A3">
        <w:rPr>
          <w:b/>
        </w:rPr>
        <w:t>3404</w:t>
      </w:r>
    </w:p>
    <w:p w:rsidR="00A66F2F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466C76" w:rsidRDefault="00466C76" w:rsidP="00A66F2F">
      <w:r w:rsidRPr="00466C76">
        <w:t xml:space="preserve">The </w:t>
      </w:r>
      <w:proofErr w:type="spellStart"/>
      <w:r w:rsidRPr="00466C76">
        <w:t>Hysitron</w:t>
      </w:r>
      <w:proofErr w:type="spellEnd"/>
      <w:r w:rsidRPr="00466C76">
        <w:t xml:space="preserve"> TI 980 </w:t>
      </w:r>
      <w:proofErr w:type="spellStart"/>
      <w:r w:rsidRPr="00466C76">
        <w:t>nanoindenter</w:t>
      </w:r>
      <w:proofErr w:type="spellEnd"/>
      <w:r w:rsidRPr="00466C76">
        <w:t xml:space="preserve"> provides rapid, multi-sample and multi-technique automated testing capabilities for high-throughput characterization. </w:t>
      </w:r>
      <w:r>
        <w:t>It</w:t>
      </w:r>
      <w:r w:rsidRPr="00466C76">
        <w:t xml:space="preserve"> includes quantitative nanoscale-to-microscale indentation, </w:t>
      </w:r>
      <w:proofErr w:type="spellStart"/>
      <w:r w:rsidRPr="00466C76">
        <w:t>nanoscratch</w:t>
      </w:r>
      <w:proofErr w:type="spellEnd"/>
      <w:r w:rsidRPr="00466C76">
        <w:t xml:space="preserve">, </w:t>
      </w:r>
      <w:proofErr w:type="spellStart"/>
      <w:r w:rsidRPr="00466C76">
        <w:t>nanowear</w:t>
      </w:r>
      <w:proofErr w:type="spellEnd"/>
      <w:r w:rsidRPr="00466C76">
        <w:t>, high-resolution in-situ scanning probe microscopy (SPM) imaging, dynamic nanoindentation, and high-speed mechanical property mapping; providing a comprehensive understanding of material behavior at the nanoscale.</w:t>
      </w:r>
      <w:r w:rsidR="00FE44ED">
        <w:t xml:space="preserve"> The equipment enables</w:t>
      </w:r>
      <w:r w:rsidR="008649AD">
        <w:t>:</w:t>
      </w:r>
    </w:p>
    <w:p w:rsidR="00FE44ED" w:rsidRDefault="00FE44ED" w:rsidP="008649AD">
      <w:pPr>
        <w:pStyle w:val="ListParagraph"/>
        <w:numPr>
          <w:ilvl w:val="0"/>
          <w:numId w:val="2"/>
        </w:numPr>
      </w:pPr>
      <w:r w:rsidRPr="00FE44ED">
        <w:t>quantitative determination of localized mechanical properties such as elastic modulus, hardness, creep, stress relaxation, and fracture toughness for a wide variety of materials</w:t>
      </w:r>
      <w:r>
        <w:t>,</w:t>
      </w:r>
    </w:p>
    <w:p w:rsidR="00FE44ED" w:rsidRPr="00466C76" w:rsidRDefault="00FE44ED" w:rsidP="008649AD">
      <w:pPr>
        <w:pStyle w:val="ListParagraph"/>
        <w:numPr>
          <w:ilvl w:val="0"/>
          <w:numId w:val="2"/>
        </w:numPr>
      </w:pPr>
      <w:r w:rsidRPr="00FE44ED">
        <w:t>continuous measurement of elastic-plastic and viscoelastic properties as a function of indentation depth, frequency, and time</w:t>
      </w:r>
      <w:r>
        <w:t>,</w:t>
      </w:r>
    </w:p>
    <w:p w:rsidR="00062BF3" w:rsidRPr="00FE44ED" w:rsidRDefault="00FE44ED" w:rsidP="008649AD">
      <w:pPr>
        <w:pStyle w:val="ListParagraph"/>
        <w:numPr>
          <w:ilvl w:val="0"/>
          <w:numId w:val="2"/>
        </w:numPr>
        <w:spacing w:after="100" w:afterAutospacing="1"/>
      </w:pPr>
      <w:r>
        <w:t xml:space="preserve">to obtain </w:t>
      </w:r>
      <w:r w:rsidRPr="00FE44ED">
        <w:t>comprehensive nanomechanical property maps and property distribution statistics in a record amount of time</w:t>
      </w:r>
      <w:r>
        <w:t>.</w:t>
      </w:r>
    </w:p>
    <w:p w:rsidR="008649AD" w:rsidRDefault="008649AD">
      <w:pPr>
        <w:rPr>
          <w:b/>
          <w:i/>
          <w:sz w:val="32"/>
          <w:szCs w:val="32"/>
          <w:highlight w:val="yellow"/>
        </w:rPr>
      </w:pPr>
      <w:r>
        <w:rPr>
          <w:b/>
          <w:i/>
          <w:sz w:val="32"/>
          <w:szCs w:val="32"/>
          <w:highlight w:val="yellow"/>
        </w:rPr>
        <w:br w:type="page"/>
      </w: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lastRenderedPageBreak/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B03FC3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Default="00AB07B7" w:rsidP="00A66F2F">
      <w:r w:rsidRPr="00AB07B7">
        <w:t xml:space="preserve">The rapid </w:t>
      </w:r>
      <w:r>
        <w:t xml:space="preserve">technological advancement is </w:t>
      </w:r>
      <w:r w:rsidRPr="00AB07B7">
        <w:t xml:space="preserve">closely linked to the development of qualitatively </w:t>
      </w:r>
      <w:r w:rsidR="00FE44ED">
        <w:t>novel</w:t>
      </w:r>
      <w:r w:rsidR="00825713">
        <w:t xml:space="preserve"> </w:t>
      </w:r>
      <w:r w:rsidRPr="00AB07B7">
        <w:t>materials, the mechanical properties of which are often unknown.</w:t>
      </w:r>
      <w:r>
        <w:t xml:space="preserve"> The equipment enables to determine </w:t>
      </w:r>
      <w:r w:rsidR="003F10F8">
        <w:t>t</w:t>
      </w:r>
      <w:r w:rsidR="003F10F8" w:rsidRPr="003F10F8">
        <w:t xml:space="preserve">he mechanical properties of </w:t>
      </w:r>
      <w:r>
        <w:t xml:space="preserve">such materials at the nanoscale, which </w:t>
      </w:r>
      <w:r w:rsidR="003F10F8" w:rsidRPr="003F10F8">
        <w:t>are crucial for the</w:t>
      </w:r>
      <w:r>
        <w:t>ir</w:t>
      </w:r>
      <w:r w:rsidR="003F10F8" w:rsidRPr="003F10F8">
        <w:t xml:space="preserve"> successful development and application</w:t>
      </w:r>
      <w:r>
        <w:t>.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3F10F8" w:rsidRDefault="00FE44ED" w:rsidP="00A66F2F">
      <w:r>
        <w:t>In the coupling with the model accelerated weathering, the d</w:t>
      </w:r>
      <w:r w:rsidR="003F10F8">
        <w:t xml:space="preserve">etermination of the durability of thin coatings </w:t>
      </w:r>
      <w:r>
        <w:t>on a range of substrates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B03FC3" w:rsidRPr="00B03FC3" w:rsidRDefault="00AB07B7" w:rsidP="00A66F2F">
      <w:r>
        <w:t>Nanoindenta</w:t>
      </w:r>
      <w:r w:rsidR="008649AD">
        <w:t>t</w:t>
      </w:r>
      <w:r>
        <w:t>ion, Thin coatings, Hardness</w:t>
      </w:r>
      <w:r w:rsidR="00B03FC3" w:rsidRPr="00B03FC3">
        <w:t>,</w:t>
      </w:r>
      <w:r>
        <w:t xml:space="preserve"> Loss modulus, Storage modulus,</w:t>
      </w:r>
      <w:r w:rsidR="00B03FC3" w:rsidRPr="00B03FC3">
        <w:t xml:space="preserve"> </w:t>
      </w:r>
      <w:proofErr w:type="spellStart"/>
      <w:r w:rsidR="00FE44ED">
        <w:t>N</w:t>
      </w:r>
      <w:r w:rsidR="00FE44ED" w:rsidRPr="00466C76">
        <w:t>anoscratch</w:t>
      </w:r>
      <w:proofErr w:type="spellEnd"/>
      <w:r w:rsidR="00FE44ED" w:rsidRPr="00466C76">
        <w:t xml:space="preserve">, </w:t>
      </w:r>
      <w:proofErr w:type="spellStart"/>
      <w:r w:rsidR="00FE44ED">
        <w:t>N</w:t>
      </w:r>
      <w:r w:rsidR="00FE44ED" w:rsidRPr="00466C76">
        <w:t>anowear</w:t>
      </w:r>
      <w:proofErr w:type="spellEnd"/>
    </w:p>
    <w:p w:rsidR="00DB6047" w:rsidRDefault="00DB6047" w:rsidP="00A66F2F"/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B03FC3" w:rsidRDefault="00FE44ED" w:rsidP="00A66F2F">
      <w:r>
        <w:t>Most important fields of application include the d</w:t>
      </w:r>
      <w:r w:rsidR="00B03FC3" w:rsidRPr="00B03FC3">
        <w:t>evelopment of thin nanostructured layers suitable for photocatalytic an</w:t>
      </w:r>
      <w:r w:rsidR="00AB07B7">
        <w:t>d</w:t>
      </w:r>
      <w:r w:rsidR="00B03FC3" w:rsidRPr="00B03FC3">
        <w:t xml:space="preserve"> photoelectrochemic</w:t>
      </w:r>
      <w:r w:rsidR="00AB07B7">
        <w:t>al</w:t>
      </w:r>
      <w:r w:rsidR="00B03FC3" w:rsidRPr="00B03FC3">
        <w:t xml:space="preserve"> technologies</w:t>
      </w:r>
      <w:r>
        <w:t>, the development and t</w:t>
      </w:r>
      <w:r w:rsidR="00B03FC3" w:rsidRPr="00B03FC3">
        <w:t xml:space="preserve">esting </w:t>
      </w:r>
      <w:r>
        <w:t xml:space="preserve">of </w:t>
      </w:r>
      <w:r w:rsidR="00B03FC3" w:rsidRPr="00B03FC3">
        <w:t>the protective coating</w:t>
      </w:r>
      <w:r>
        <w:t>s</w:t>
      </w:r>
      <w:r w:rsidR="00B03FC3" w:rsidRPr="00B03FC3">
        <w:t xml:space="preserve"> for applications in </w:t>
      </w:r>
      <w:r w:rsidR="00825713">
        <w:t xml:space="preserve">the </w:t>
      </w:r>
      <w:r w:rsidR="00B03FC3" w:rsidRPr="00B03FC3">
        <w:t>cultural heritage conservation</w:t>
      </w:r>
      <w:r>
        <w:t xml:space="preserve"> and testing the durability of </w:t>
      </w:r>
      <w:r w:rsidR="00825713">
        <w:t xml:space="preserve">novel materials </w:t>
      </w:r>
      <w:r w:rsidR="00825713" w:rsidRPr="00AB07B7">
        <w:t>under demanding operating conditions</w:t>
      </w:r>
      <w:r w:rsidR="00825713">
        <w:t>.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825713" w:rsidRPr="00825713" w:rsidRDefault="00825713" w:rsidP="00A66F2F">
      <w:r>
        <w:lastRenderedPageBreak/>
        <w:t xml:space="preserve">The detailed knowledge </w:t>
      </w:r>
      <w:r w:rsidRPr="00825713">
        <w:t>of the mechanical properties and durability of novel nanostructured materials</w:t>
      </w:r>
      <w:r>
        <w:t xml:space="preserve"> is crucial for their successful development and determination of the structure-performance correlations.</w:t>
      </w:r>
    </w:p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94A4E"/>
    <w:multiLevelType w:val="hybridMultilevel"/>
    <w:tmpl w:val="1C5EA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6EB3"/>
    <w:rsid w:val="00050DB1"/>
    <w:rsid w:val="00062BF3"/>
    <w:rsid w:val="00070A95"/>
    <w:rsid w:val="00073239"/>
    <w:rsid w:val="0011115E"/>
    <w:rsid w:val="001139A1"/>
    <w:rsid w:val="00124153"/>
    <w:rsid w:val="001B4DCD"/>
    <w:rsid w:val="00200954"/>
    <w:rsid w:val="00250847"/>
    <w:rsid w:val="002A071C"/>
    <w:rsid w:val="002D34CF"/>
    <w:rsid w:val="00353EF9"/>
    <w:rsid w:val="00396353"/>
    <w:rsid w:val="003C2D77"/>
    <w:rsid w:val="003E22CF"/>
    <w:rsid w:val="003F10F8"/>
    <w:rsid w:val="00412FAE"/>
    <w:rsid w:val="00466C76"/>
    <w:rsid w:val="00500848"/>
    <w:rsid w:val="00502A63"/>
    <w:rsid w:val="00523B0E"/>
    <w:rsid w:val="005305F6"/>
    <w:rsid w:val="005554ED"/>
    <w:rsid w:val="005A1001"/>
    <w:rsid w:val="005E55A3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722779"/>
    <w:rsid w:val="00737A4E"/>
    <w:rsid w:val="007B4790"/>
    <w:rsid w:val="00825713"/>
    <w:rsid w:val="0086289B"/>
    <w:rsid w:val="008649AD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B07B7"/>
    <w:rsid w:val="00AC6FBB"/>
    <w:rsid w:val="00B03FC3"/>
    <w:rsid w:val="00B26C6F"/>
    <w:rsid w:val="00B470DE"/>
    <w:rsid w:val="00B5358E"/>
    <w:rsid w:val="00B81536"/>
    <w:rsid w:val="00B819A8"/>
    <w:rsid w:val="00B82BB0"/>
    <w:rsid w:val="00BB70A3"/>
    <w:rsid w:val="00BD1FCF"/>
    <w:rsid w:val="00BD52A4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532D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DB93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character" w:customStyle="1" w:styleId="jlqj4b">
    <w:name w:val="jlqj4b"/>
    <w:basedOn w:val="DefaultParagraphFont"/>
    <w:rsid w:val="00AB07B7"/>
  </w:style>
  <w:style w:type="paragraph" w:styleId="ListParagraph">
    <w:name w:val="List Paragraph"/>
    <w:basedOn w:val="Normal"/>
    <w:uiPriority w:val="34"/>
    <w:qFormat/>
    <w:rsid w:val="0086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8345-230F-418B-9DB6-FDE04E06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Jakub Minha</cp:lastModifiedBy>
  <cp:revision>4</cp:revision>
  <cp:lastPrinted>2020-03-02T15:05:00Z</cp:lastPrinted>
  <dcterms:created xsi:type="dcterms:W3CDTF">2021-01-04T12:32:00Z</dcterms:created>
  <dcterms:modified xsi:type="dcterms:W3CDTF">2021-01-04T12:39:00Z</dcterms:modified>
</cp:coreProperties>
</file>