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77" w:rsidRPr="00647884" w:rsidRDefault="00DB6047" w:rsidP="00A66F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Infrared Spectrometer</w:t>
      </w:r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E95447">
        <w:rPr>
          <w:bCs/>
        </w:rPr>
        <w:t>UFCH</w:t>
      </w:r>
      <w:r w:rsidR="00DB6047">
        <w:rPr>
          <w:bCs/>
        </w:rPr>
        <w:t>23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DB6047">
        <w:rPr>
          <w:bCs/>
        </w:rPr>
        <w:t>Dr. Petr Sazama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E95447">
        <w:rPr>
          <w:bCs/>
        </w:rPr>
        <w:t>Institute of Physical Chemistry of the CAS</w:t>
      </w:r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E95447">
        <w:rPr>
          <w:bCs/>
        </w:rPr>
        <w:t>Dolejškova</w:t>
      </w:r>
      <w:proofErr w:type="spellEnd"/>
      <w:r w:rsidR="00E95447">
        <w:rPr>
          <w:bCs/>
        </w:rPr>
        <w:t xml:space="preserve"> 3, Prague 182 23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F16F13">
        <w:rPr>
          <w:bCs/>
        </w:rPr>
        <w:t>petr.sazama</w:t>
      </w:r>
      <w:r w:rsidR="00E95447">
        <w:rPr>
          <w:bCs/>
        </w:rPr>
        <w:t>@jh-inst.cas.cz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073239" w:rsidRPr="00073239">
        <w:t xml:space="preserve">(+420) </w:t>
      </w:r>
      <w:r w:rsidR="00E95447">
        <w:t xml:space="preserve">6605 </w:t>
      </w:r>
      <w:r w:rsidR="00F16F13">
        <w:t>3325</w:t>
      </w:r>
    </w:p>
    <w:p w:rsidR="005A1001" w:rsidRDefault="005A1001" w:rsidP="00A66F2F">
      <w:pPr>
        <w:rPr>
          <w:bCs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hyperlink r:id="rId6" w:history="1">
        <w:r w:rsidR="00F16F13" w:rsidRPr="005D0239">
          <w:rPr>
            <w:rStyle w:val="Hypertextovodkaz"/>
            <w:bCs/>
          </w:rPr>
          <w:t>https://www.jh-inst.cas.cz</w:t>
        </w:r>
      </w:hyperlink>
      <w:r w:rsidR="00F16F13">
        <w:rPr>
          <w:bCs/>
        </w:rPr>
        <w:t xml:space="preserve">, </w:t>
      </w:r>
      <w:hyperlink r:id="rId7" w:history="1">
        <w:r w:rsidR="00F16F13" w:rsidRPr="005D0239">
          <w:rPr>
            <w:rStyle w:val="Hypertextovodkaz"/>
            <w:bCs/>
          </w:rPr>
          <w:t>https://www.catalysis.cz</w:t>
        </w:r>
      </w:hyperlink>
    </w:p>
    <w:p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292861">
        <w:rPr>
          <w:bCs/>
        </w:rPr>
        <w:t>Dr. Petr Sazama</w:t>
      </w:r>
    </w:p>
    <w:p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292861">
        <w:rPr>
          <w:bCs/>
        </w:rPr>
        <w:t>petr.sazama@jh-inst.cas.cz</w:t>
      </w:r>
    </w:p>
    <w:p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292861" w:rsidRPr="00073239">
        <w:t xml:space="preserve">(+420) </w:t>
      </w:r>
      <w:r w:rsidR="00292861">
        <w:t>6605 3325</w:t>
      </w:r>
      <w:bookmarkStart w:id="0" w:name="_GoBack"/>
      <w:bookmarkEnd w:id="0"/>
    </w:p>
    <w:p w:rsidR="00E95447" w:rsidRDefault="00E9544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062BF3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062BF3" w:rsidRPr="00523B0E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96591E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Magnetic hybrids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673B9B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673B9B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673B9B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673B9B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673B9B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673B9B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396353" w:rsidRDefault="00F16F1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</w:t>
            </w:r>
            <w:proofErr w:type="spellStart"/>
            <w:r w:rsidRPr="00396353">
              <w:rPr>
                <w:lang w:val="en-GB"/>
              </w:rPr>
              <w:t>ecotoxicity</w:t>
            </w:r>
            <w:proofErr w:type="spellEnd"/>
            <w:r w:rsidRPr="00396353">
              <w:rPr>
                <w:lang w:val="en-GB"/>
              </w:rPr>
              <w:t xml:space="preserve"> evaluation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:rsidR="0096591E" w:rsidRDefault="0096591E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DB6047" w:rsidRPr="00AC3446" w:rsidRDefault="00F16F13" w:rsidP="00D7526A">
      <w:pPr>
        <w:jc w:val="both"/>
      </w:pPr>
      <w:r w:rsidRPr="00AC3446">
        <w:t>The Nicolet iS50 is the scientific infrared spectrometer for universal material analysis.</w:t>
      </w:r>
      <w:r w:rsidR="00AC3446">
        <w:t xml:space="preserve"> The spectrometer is primarily</w:t>
      </w:r>
      <w:r w:rsidR="00AC3446" w:rsidRPr="00AC3446">
        <w:t xml:space="preserve"> used to identify the structure of materials for heterogeneous catalytic </w:t>
      </w:r>
      <w:r w:rsidR="00D7526A">
        <w:t xml:space="preserve">and adsorption </w:t>
      </w:r>
      <w:r w:rsidR="00AC3446" w:rsidRPr="00AC3446">
        <w:t xml:space="preserve">processes for environmental protection and for catalytic technologies. 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DB6047" w:rsidRDefault="00AC3446" w:rsidP="00A66F2F">
      <w:r>
        <w:t>Spectral analysis providing</w:t>
      </w:r>
      <w:r w:rsidRPr="00AC3446">
        <w:t xml:space="preserve"> a detailed view of the structure of </w:t>
      </w:r>
      <w:r>
        <w:t>adsorption centers and functional groups in nanostructured materials.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DB6047" w:rsidRDefault="00AC3446" w:rsidP="00A66F2F">
      <w:r>
        <w:t>FTIR spectroscopy, structural analysis, nanostructured materials, catalysis, adsorption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AC3446" w:rsidRDefault="00AC3446" w:rsidP="00D7526A">
      <w:pPr>
        <w:jc w:val="both"/>
      </w:pPr>
      <w:r w:rsidRPr="00AC3446">
        <w:t xml:space="preserve">Characteristic infrared bands of vibrations of the studied materials and adsorbed molecular probes </w:t>
      </w:r>
      <w:r>
        <w:t>are</w:t>
      </w:r>
      <w:r>
        <w:t xml:space="preserve"> primarily </w:t>
      </w:r>
      <w:r w:rsidRPr="00AC3446">
        <w:t xml:space="preserve">used to determine the concentration, structure, nature and availability of active centers </w:t>
      </w:r>
      <w:r>
        <w:t>in</w:t>
      </w:r>
      <w:r w:rsidRPr="00AC3446">
        <w:t xml:space="preserve"> nanostructured heterogeneous catalysts</w:t>
      </w:r>
      <w:r>
        <w:t xml:space="preserve"> and adsorption sites in adsorption materials</w:t>
      </w:r>
      <w:r w:rsidRPr="00AC3446">
        <w:t xml:space="preserve">. </w:t>
      </w:r>
    </w:p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DB6047" w:rsidRDefault="00AC3446" w:rsidP="00A66F2F">
      <w:r w:rsidRPr="00AC3446">
        <w:t>The identification of the structure o</w:t>
      </w:r>
      <w:r>
        <w:t xml:space="preserve">f nanostructured catalysts </w:t>
      </w:r>
      <w:r w:rsidR="00D7526A">
        <w:t xml:space="preserve">and adsorption materials </w:t>
      </w:r>
      <w:r w:rsidRPr="00AC3446">
        <w:t xml:space="preserve">serve to find correlations with their functional properties in heterogeneously catalyzed reactions </w:t>
      </w:r>
      <w:r w:rsidR="00D7526A">
        <w:t xml:space="preserve">and adsorption processes </w:t>
      </w:r>
      <w:r w:rsidRPr="00AC3446">
        <w:t>used for the degradation of pollutants in water, soil and air and in new "pure" catalytic processes usable for chemical production.</w:t>
      </w:r>
      <w:r w:rsidR="00D7526A">
        <w:t xml:space="preserve"> A</w:t>
      </w:r>
      <w:r w:rsidR="00D7526A" w:rsidRPr="00AC3446">
        <w:t xml:space="preserve"> detailed view of the structure of</w:t>
      </w:r>
      <w:r w:rsidR="00D7526A">
        <w:t xml:space="preserve"> functional groups in materials.</w:t>
      </w:r>
    </w:p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2F"/>
    <w:rsid w:val="00006EB3"/>
    <w:rsid w:val="00050DB1"/>
    <w:rsid w:val="00062BF3"/>
    <w:rsid w:val="00070A95"/>
    <w:rsid w:val="00073239"/>
    <w:rsid w:val="0011115E"/>
    <w:rsid w:val="001139A1"/>
    <w:rsid w:val="00124153"/>
    <w:rsid w:val="001B4DCD"/>
    <w:rsid w:val="00200954"/>
    <w:rsid w:val="00250847"/>
    <w:rsid w:val="00292861"/>
    <w:rsid w:val="002A071C"/>
    <w:rsid w:val="002D34CF"/>
    <w:rsid w:val="00353EF9"/>
    <w:rsid w:val="00396353"/>
    <w:rsid w:val="003C2D77"/>
    <w:rsid w:val="003E22CF"/>
    <w:rsid w:val="00412FAE"/>
    <w:rsid w:val="00500848"/>
    <w:rsid w:val="00502A63"/>
    <w:rsid w:val="00523B0E"/>
    <w:rsid w:val="005305F6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722779"/>
    <w:rsid w:val="007B4790"/>
    <w:rsid w:val="0086289B"/>
    <w:rsid w:val="008E32CC"/>
    <w:rsid w:val="008F0804"/>
    <w:rsid w:val="00902983"/>
    <w:rsid w:val="009124E8"/>
    <w:rsid w:val="0096591E"/>
    <w:rsid w:val="009A38A7"/>
    <w:rsid w:val="009C2AFC"/>
    <w:rsid w:val="009F6B3D"/>
    <w:rsid w:val="00A66F2F"/>
    <w:rsid w:val="00AC3446"/>
    <w:rsid w:val="00AC6FBB"/>
    <w:rsid w:val="00B26C6F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7526A"/>
    <w:rsid w:val="00DB6047"/>
    <w:rsid w:val="00DD5492"/>
    <w:rsid w:val="00E44C59"/>
    <w:rsid w:val="00E83991"/>
    <w:rsid w:val="00E95447"/>
    <w:rsid w:val="00EA069A"/>
    <w:rsid w:val="00ED3566"/>
    <w:rsid w:val="00F01C9F"/>
    <w:rsid w:val="00F16F13"/>
    <w:rsid w:val="00F405AA"/>
    <w:rsid w:val="00F52DE1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F1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talysi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h-inst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492B-AE4B-4085-9872-E69BF9A4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Petr Sazama</cp:lastModifiedBy>
  <cp:revision>2</cp:revision>
  <cp:lastPrinted>2020-03-02T15:05:00Z</cp:lastPrinted>
  <dcterms:created xsi:type="dcterms:W3CDTF">2020-09-30T12:22:00Z</dcterms:created>
  <dcterms:modified xsi:type="dcterms:W3CDTF">2020-09-30T12:22:00Z</dcterms:modified>
</cp:coreProperties>
</file>