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8D87" w14:textId="77777777" w:rsidR="0005626C" w:rsidRPr="0005626C" w:rsidRDefault="0005626C">
      <w:pPr>
        <w:suppressAutoHyphens/>
        <w:rPr>
          <w:b/>
          <w:bCs/>
          <w:sz w:val="36"/>
          <w:szCs w:val="36"/>
        </w:rPr>
      </w:pPr>
      <w:r w:rsidRPr="0005626C">
        <w:rPr>
          <w:rFonts w:cs="Arial"/>
          <w:b/>
          <w:bCs/>
          <w:sz w:val="36"/>
          <w:szCs w:val="36"/>
        </w:rPr>
        <w:t>DXR Raman mikroscope</w:t>
      </w:r>
    </w:p>
    <w:p w14:paraId="54E544D1" w14:textId="77777777" w:rsidR="00664016" w:rsidRDefault="00664016">
      <w:pPr>
        <w:suppressAutoHyphens/>
        <w:rPr>
          <w:b/>
          <w:bCs/>
        </w:rPr>
      </w:pPr>
    </w:p>
    <w:p w14:paraId="7A8DD86B" w14:textId="77777777" w:rsidR="00AA6924" w:rsidRDefault="001777E2">
      <w:pPr>
        <w:suppressAutoHyphens/>
        <w:rPr>
          <w:b/>
          <w:bCs/>
        </w:rPr>
      </w:pPr>
      <w:r>
        <w:rPr>
          <w:b/>
          <w:bCs/>
        </w:rPr>
        <w:t xml:space="preserve">Equipment: </w:t>
      </w:r>
      <w:r>
        <w:t xml:space="preserve">DXR Raman microscope </w:t>
      </w:r>
    </w:p>
    <w:p w14:paraId="2EB4808D" w14:textId="77777777" w:rsidR="00AA6924" w:rsidRDefault="001777E2">
      <w:pPr>
        <w:suppressAutoHyphens/>
        <w:rPr>
          <w:b/>
          <w:bCs/>
        </w:rPr>
      </w:pPr>
      <w:r>
        <w:rPr>
          <w:b/>
          <w:bCs/>
        </w:rPr>
        <w:t xml:space="preserve">No. of Equipment: </w:t>
      </w:r>
      <w:r w:rsidR="00A669B2">
        <w:rPr>
          <w:b/>
          <w:bCs/>
        </w:rPr>
        <w:t>UACH9</w:t>
      </w:r>
    </w:p>
    <w:p w14:paraId="5DB4687A" w14:textId="7D4420BF" w:rsidR="00AA6924" w:rsidRDefault="001777E2">
      <w:pPr>
        <w:suppressAutoHyphens/>
        <w:rPr>
          <w:b/>
          <w:bCs/>
        </w:rPr>
      </w:pPr>
      <w:r>
        <w:rPr>
          <w:b/>
          <w:bCs/>
        </w:rPr>
        <w:t xml:space="preserve">Responsible coordinator: </w:t>
      </w:r>
      <w:r>
        <w:t>Dr.</w:t>
      </w:r>
      <w:r w:rsidR="00600B3D">
        <w:t xml:space="preserve"> Petra Ecorchard</w:t>
      </w:r>
    </w:p>
    <w:p w14:paraId="6D19068E" w14:textId="77777777" w:rsidR="00AA6924" w:rsidRDefault="001777E2">
      <w:pPr>
        <w:suppressAutoHyphens/>
        <w:rPr>
          <w:b/>
          <w:bCs/>
        </w:rPr>
      </w:pPr>
      <w:r>
        <w:rPr>
          <w:b/>
          <w:bCs/>
        </w:rPr>
        <w:t>Name of Institution:</w:t>
      </w:r>
      <w:r>
        <w:t xml:space="preserve"> Institute of Inorganic Chemistry of the ASCR, v.v.i.</w:t>
      </w:r>
    </w:p>
    <w:p w14:paraId="741D678D" w14:textId="77777777" w:rsidR="00AA6924" w:rsidRDefault="001777E2">
      <w:pPr>
        <w:suppressAutoHyphens/>
        <w:rPr>
          <w:b/>
          <w:bCs/>
        </w:rPr>
      </w:pPr>
      <w:r>
        <w:rPr>
          <w:b/>
          <w:bCs/>
        </w:rPr>
        <w:t xml:space="preserve">Address of Institution: </w:t>
      </w:r>
      <w:r>
        <w:t>Husinec - Řež 1001, 250 68 Řež, Czech Republic</w:t>
      </w:r>
    </w:p>
    <w:p w14:paraId="271A70B4" w14:textId="3124ABC6" w:rsidR="00AA6924" w:rsidRDefault="001777E2">
      <w:pPr>
        <w:suppressAutoHyphens/>
        <w:rPr>
          <w:rStyle w:val="None"/>
          <w:b/>
          <w:bCs/>
        </w:rPr>
      </w:pPr>
      <w:r>
        <w:rPr>
          <w:b/>
          <w:bCs/>
        </w:rPr>
        <w:t xml:space="preserve">E-mail: </w:t>
      </w:r>
      <w:hyperlink r:id="rId7" w:history="1">
        <w:r w:rsidR="00600B3D" w:rsidRPr="00597470">
          <w:rPr>
            <w:rStyle w:val="Hypertextovodkaz"/>
          </w:rPr>
          <w:t>ecorchard@iic.cas.cz</w:t>
        </w:r>
      </w:hyperlink>
    </w:p>
    <w:p w14:paraId="3C627332" w14:textId="42376A3D" w:rsidR="00AA6924" w:rsidRDefault="001777E2">
      <w:pPr>
        <w:suppressAutoHyphens/>
        <w:rPr>
          <w:rStyle w:val="None"/>
          <w:b/>
          <w:bCs/>
        </w:rPr>
      </w:pPr>
      <w:r>
        <w:rPr>
          <w:rStyle w:val="None"/>
          <w:b/>
          <w:bCs/>
        </w:rPr>
        <w:t xml:space="preserve">Telephone: </w:t>
      </w:r>
      <w:r w:rsidR="00600B3D">
        <w:t>311236922</w:t>
      </w:r>
    </w:p>
    <w:p w14:paraId="27EA1BC8" w14:textId="77777777" w:rsidR="00AA6924" w:rsidRDefault="001777E2">
      <w:pPr>
        <w:suppressAutoHyphens/>
        <w:rPr>
          <w:rStyle w:val="None"/>
          <w:b/>
          <w:bCs/>
        </w:rPr>
      </w:pPr>
      <w:r>
        <w:rPr>
          <w:rStyle w:val="None"/>
          <w:b/>
          <w:bCs/>
        </w:rPr>
        <w:t xml:space="preserve">Homepage: </w:t>
      </w:r>
      <w:r>
        <w:t>http://www.iic.cas.cz</w:t>
      </w:r>
    </w:p>
    <w:p w14:paraId="5B38A098" w14:textId="60E04F80" w:rsidR="00AA6924" w:rsidRDefault="001777E2">
      <w:pPr>
        <w:suppressAutoHyphens/>
        <w:rPr>
          <w:rStyle w:val="None"/>
          <w:b/>
          <w:bCs/>
        </w:rPr>
      </w:pPr>
      <w:r>
        <w:rPr>
          <w:rStyle w:val="None"/>
          <w:b/>
          <w:bCs/>
        </w:rPr>
        <w:t>Contact person</w:t>
      </w:r>
      <w:r w:rsidR="00600B3D">
        <w:rPr>
          <w:rStyle w:val="None"/>
          <w:b/>
          <w:bCs/>
        </w:rPr>
        <w:t xml:space="preserve"> (operator)</w:t>
      </w:r>
      <w:r>
        <w:rPr>
          <w:rStyle w:val="None"/>
          <w:b/>
          <w:bCs/>
        </w:rPr>
        <w:t>:</w:t>
      </w:r>
      <w:r>
        <w:t xml:space="preserve"> Dr</w:t>
      </w:r>
      <w:r w:rsidR="00DD6381">
        <w:t xml:space="preserve">. </w:t>
      </w:r>
      <w:r w:rsidR="00600B3D">
        <w:t>Monika Maříková</w:t>
      </w:r>
    </w:p>
    <w:p w14:paraId="2675D85D" w14:textId="043D81CE" w:rsidR="00AA6924" w:rsidRDefault="001777E2">
      <w:pPr>
        <w:suppressAutoHyphens/>
        <w:rPr>
          <w:rStyle w:val="None"/>
          <w:b/>
          <w:bCs/>
        </w:rPr>
      </w:pPr>
      <w:r>
        <w:rPr>
          <w:rStyle w:val="None"/>
          <w:b/>
          <w:bCs/>
        </w:rPr>
        <w:t xml:space="preserve">E-mail: </w:t>
      </w:r>
      <w:r w:rsidR="00600B3D">
        <w:rPr>
          <w:rStyle w:val="Hyperlink0"/>
        </w:rPr>
        <w:t>monika</w:t>
      </w:r>
      <w:r>
        <w:rPr>
          <w:rStyle w:val="Hyperlink0"/>
        </w:rPr>
        <w:t>@iic.cas.cz</w:t>
      </w:r>
      <w:r>
        <w:tab/>
      </w:r>
    </w:p>
    <w:p w14:paraId="11FA25E7" w14:textId="28378995" w:rsidR="00AA6924" w:rsidRDefault="001777E2">
      <w:pPr>
        <w:suppressAutoHyphens/>
        <w:rPr>
          <w:rStyle w:val="None"/>
          <w:b/>
          <w:bCs/>
        </w:rPr>
      </w:pPr>
      <w:r>
        <w:rPr>
          <w:rStyle w:val="None"/>
          <w:b/>
          <w:bCs/>
        </w:rPr>
        <w:t xml:space="preserve">Telephone: </w:t>
      </w:r>
      <w:r w:rsidR="00600B3D">
        <w:t>311236943</w:t>
      </w:r>
    </w:p>
    <w:p w14:paraId="448CD8A6" w14:textId="77777777" w:rsidR="00AA6924" w:rsidRDefault="00AA6924">
      <w:pPr>
        <w:suppressAutoHyphens/>
        <w:rPr>
          <w:b/>
          <w:bCs/>
          <w:sz w:val="32"/>
          <w:szCs w:val="32"/>
        </w:rPr>
      </w:pPr>
    </w:p>
    <w:p w14:paraId="6A6027F4" w14:textId="77777777" w:rsidR="00AA6924" w:rsidRDefault="001777E2">
      <w:pPr>
        <w:suppressAutoHyphens/>
        <w:rPr>
          <w:rStyle w:val="None"/>
          <w:b/>
          <w:bCs/>
          <w:sz w:val="32"/>
          <w:szCs w:val="32"/>
        </w:rPr>
      </w:pPr>
      <w:r>
        <w:rPr>
          <w:rStyle w:val="None"/>
          <w:b/>
          <w:bCs/>
          <w:sz w:val="32"/>
          <w:szCs w:val="32"/>
        </w:rPr>
        <w:t>Equipment Description</w:t>
      </w:r>
    </w:p>
    <w:p w14:paraId="05E998B5" w14:textId="77777777" w:rsidR="00AA6924" w:rsidRDefault="001777E2">
      <w:pPr>
        <w:suppressAutoHyphens/>
        <w:rPr>
          <w:rStyle w:val="None"/>
          <w:b/>
          <w:bCs/>
        </w:rPr>
      </w:pPr>
      <w:r>
        <w:rPr>
          <w:rStyle w:val="None"/>
          <w:b/>
          <w:bCs/>
        </w:rPr>
        <w:t>Description of equipment:</w:t>
      </w:r>
    </w:p>
    <w:p w14:paraId="6D93FBCB" w14:textId="77777777" w:rsidR="00AA6924" w:rsidRDefault="001777E2">
      <w:pPr>
        <w:suppressAutoHyphens/>
        <w:rPr>
          <w:rStyle w:val="None"/>
        </w:rPr>
      </w:pPr>
      <w:r>
        <w:t>Thermo Scientific DXR Raman Microscope for phase identification and determination of the molecular structure of the chemical compounds. Analysis of the organic and inorganic compounds, carbon materials, nanomaterials, etc.</w:t>
      </w:r>
    </w:p>
    <w:p w14:paraId="612F82BF" w14:textId="77777777" w:rsidR="00AA6924" w:rsidRDefault="001777E2">
      <w:pPr>
        <w:pStyle w:val="Body"/>
        <w:suppressAutoHyphens/>
        <w:spacing w:before="120" w:after="120" w:line="276" w:lineRule="auto"/>
        <w:rPr>
          <w:rStyle w:val="None"/>
          <w:rFonts w:ascii="Calibri" w:eastAsia="Calibri" w:hAnsi="Calibri" w:cs="Calibri"/>
          <w:color w:val="222222"/>
          <w:u w:color="222222"/>
        </w:rPr>
      </w:pPr>
      <w:r>
        <w:rPr>
          <w:rStyle w:val="None"/>
          <w:rFonts w:ascii="Calibri" w:eastAsia="Calibri" w:hAnsi="Calibri" w:cs="Calibri"/>
          <w:b/>
          <w:bCs/>
          <w:color w:val="222222"/>
          <w:u w:color="222222"/>
        </w:rPr>
        <w:t>Specifications and technical features:</w:t>
      </w:r>
      <w:r>
        <w:rPr>
          <w:rStyle w:val="None"/>
          <w:rFonts w:ascii="Calibri" w:eastAsia="Calibri" w:hAnsi="Calibri" w:cs="Calibri"/>
          <w:color w:val="222222"/>
          <w:u w:color="222222"/>
        </w:rPr>
        <w:t xml:space="preserve"> </w:t>
      </w:r>
    </w:p>
    <w:p w14:paraId="76B7B7B8" w14:textId="77777777" w:rsidR="00AA6924" w:rsidRDefault="001777E2">
      <w:pPr>
        <w:pStyle w:val="Body"/>
        <w:suppressAutoHyphens/>
        <w:spacing w:before="120" w:after="120" w:line="276" w:lineRule="auto"/>
        <w:rPr>
          <w:rStyle w:val="None"/>
          <w:rFonts w:ascii="Calibri" w:eastAsia="Calibri" w:hAnsi="Calibri" w:cs="Calibri"/>
          <w:color w:val="222222"/>
          <w:u w:color="222222"/>
        </w:rPr>
      </w:pPr>
      <w:r>
        <w:rPr>
          <w:rStyle w:val="None"/>
          <w:rFonts w:ascii="Calibri" w:eastAsia="Calibri" w:hAnsi="Calibri" w:cs="Calibri"/>
          <w:color w:val="222222"/>
          <w:u w:color="222222"/>
        </w:rPr>
        <w:t>532-, 633-, 780-nm high-brightness lasers</w:t>
      </w:r>
    </w:p>
    <w:p w14:paraId="011001FD" w14:textId="77777777" w:rsidR="00AA6924" w:rsidRDefault="001777E2">
      <w:pPr>
        <w:pStyle w:val="Body"/>
        <w:suppressAutoHyphens/>
        <w:spacing w:before="120" w:after="120" w:line="276" w:lineRule="auto"/>
        <w:rPr>
          <w:rStyle w:val="None"/>
          <w:rFonts w:ascii="Calibri" w:eastAsia="Calibri" w:hAnsi="Calibri" w:cs="Calibri"/>
          <w:color w:val="222222"/>
          <w:u w:color="222222"/>
        </w:rPr>
      </w:pPr>
      <w:r>
        <w:rPr>
          <w:rStyle w:val="None"/>
          <w:rFonts w:ascii="Calibri" w:eastAsia="Calibri" w:hAnsi="Calibri" w:cs="Calibri"/>
          <w:color w:val="222222"/>
          <w:u w:color="222222"/>
        </w:rPr>
        <w:t>1 micron spatial resolution</w:t>
      </w:r>
    </w:p>
    <w:p w14:paraId="5E28E900" w14:textId="77777777" w:rsidR="00AA6924" w:rsidRDefault="001777E2">
      <w:pPr>
        <w:pStyle w:val="Body"/>
        <w:suppressAutoHyphens/>
        <w:spacing w:before="120" w:after="120" w:line="276" w:lineRule="auto"/>
        <w:rPr>
          <w:rStyle w:val="None"/>
          <w:rFonts w:ascii="Calibri" w:eastAsia="Calibri" w:hAnsi="Calibri" w:cs="Calibri"/>
          <w:color w:val="222222"/>
          <w:u w:color="222222"/>
        </w:rPr>
      </w:pPr>
      <w:r>
        <w:rPr>
          <w:rStyle w:val="None"/>
          <w:rFonts w:ascii="Calibri" w:eastAsia="Calibri" w:hAnsi="Calibri" w:cs="Calibri"/>
          <w:color w:val="222222"/>
          <w:u w:color="222222"/>
        </w:rPr>
        <w:t>Full range gratings for complete spectra in one shot 50 cm</w:t>
      </w:r>
      <w:r>
        <w:rPr>
          <w:rStyle w:val="None"/>
          <w:rFonts w:ascii="Calibri" w:eastAsia="Calibri" w:hAnsi="Calibri" w:cs="Calibri"/>
          <w:color w:val="222222"/>
          <w:u w:color="222222"/>
          <w:vertAlign w:val="superscript"/>
        </w:rPr>
        <w:t>-1</w:t>
      </w:r>
      <w:r>
        <w:rPr>
          <w:rStyle w:val="None"/>
          <w:rFonts w:ascii="Calibri" w:eastAsia="Calibri" w:hAnsi="Calibri" w:cs="Calibri"/>
          <w:color w:val="222222"/>
          <w:u w:color="222222"/>
        </w:rPr>
        <w:t xml:space="preserve"> to 3500 cm</w:t>
      </w:r>
      <w:r>
        <w:rPr>
          <w:rStyle w:val="None"/>
          <w:rFonts w:ascii="Calibri" w:eastAsia="Calibri" w:hAnsi="Calibri" w:cs="Calibri"/>
          <w:color w:val="222222"/>
          <w:u w:color="222222"/>
          <w:vertAlign w:val="superscript"/>
        </w:rPr>
        <w:t>-1</w:t>
      </w:r>
      <w:r>
        <w:rPr>
          <w:rStyle w:val="None"/>
          <w:rFonts w:ascii="Calibri" w:eastAsia="Calibri" w:hAnsi="Calibri" w:cs="Calibri"/>
          <w:color w:val="222222"/>
          <w:u w:color="222222"/>
        </w:rPr>
        <w:t>, 5 cm</w:t>
      </w:r>
      <w:r>
        <w:rPr>
          <w:rStyle w:val="None"/>
          <w:rFonts w:ascii="Calibri" w:eastAsia="Calibri" w:hAnsi="Calibri" w:cs="Calibri"/>
          <w:color w:val="222222"/>
          <w:u w:color="222222"/>
          <w:vertAlign w:val="superscript"/>
        </w:rPr>
        <w:t>-1</w:t>
      </w:r>
      <w:r>
        <w:rPr>
          <w:rStyle w:val="None"/>
          <w:rFonts w:ascii="Calibri" w:eastAsia="Calibri" w:hAnsi="Calibri" w:cs="Calibri"/>
          <w:color w:val="222222"/>
          <w:u w:color="222222"/>
        </w:rPr>
        <w:t xml:space="preserve"> resolution</w:t>
      </w:r>
    </w:p>
    <w:p w14:paraId="627F97A4" w14:textId="77777777" w:rsidR="00AA6924" w:rsidRDefault="001777E2">
      <w:pPr>
        <w:pStyle w:val="Body"/>
        <w:suppressAutoHyphens/>
        <w:spacing w:before="120" w:after="120" w:line="276" w:lineRule="auto"/>
        <w:rPr>
          <w:rStyle w:val="None"/>
          <w:rFonts w:ascii="Calibri" w:eastAsia="Calibri" w:hAnsi="Calibri" w:cs="Calibri"/>
          <w:color w:val="222222"/>
          <w:u w:color="222222"/>
        </w:rPr>
      </w:pPr>
      <w:r>
        <w:rPr>
          <w:rStyle w:val="None"/>
          <w:rFonts w:ascii="Calibri" w:eastAsia="Calibri" w:hAnsi="Calibri" w:cs="Calibri"/>
          <w:color w:val="222222"/>
          <w:u w:color="222222"/>
        </w:rPr>
        <w:t>High-resolution gratings for difficult to resolve bands. 50 cm</w:t>
      </w:r>
      <w:r>
        <w:rPr>
          <w:rStyle w:val="None"/>
          <w:rFonts w:ascii="Calibri" w:eastAsia="Calibri" w:hAnsi="Calibri" w:cs="Calibri"/>
          <w:color w:val="222222"/>
          <w:u w:color="222222"/>
          <w:vertAlign w:val="superscript"/>
        </w:rPr>
        <w:t>-1</w:t>
      </w:r>
      <w:r>
        <w:rPr>
          <w:rStyle w:val="None"/>
          <w:rFonts w:ascii="Calibri" w:eastAsia="Calibri" w:hAnsi="Calibri" w:cs="Calibri"/>
          <w:color w:val="222222"/>
          <w:u w:color="222222"/>
        </w:rPr>
        <w:t xml:space="preserve"> to 1800 cm</w:t>
      </w:r>
      <w:r>
        <w:rPr>
          <w:rStyle w:val="None"/>
          <w:rFonts w:ascii="Calibri" w:eastAsia="Calibri" w:hAnsi="Calibri" w:cs="Calibri"/>
          <w:color w:val="222222"/>
          <w:u w:color="222222"/>
          <w:vertAlign w:val="superscript"/>
        </w:rPr>
        <w:t xml:space="preserve">-1 </w:t>
      </w:r>
      <w:r>
        <w:rPr>
          <w:rStyle w:val="None"/>
          <w:rFonts w:ascii="Calibri" w:eastAsia="Calibri" w:hAnsi="Calibri" w:cs="Calibri"/>
          <w:color w:val="222222"/>
          <w:u w:color="222222"/>
        </w:rPr>
        <w:t>(fingerprint region)</w:t>
      </w:r>
    </w:p>
    <w:p w14:paraId="53E9506F" w14:textId="77777777" w:rsidR="00AA6924" w:rsidRDefault="001777E2">
      <w:pPr>
        <w:pStyle w:val="Body"/>
        <w:suppressAutoHyphens/>
        <w:spacing w:before="120" w:after="120" w:line="276" w:lineRule="auto"/>
        <w:rPr>
          <w:rStyle w:val="None"/>
          <w:rFonts w:ascii="Trebuchet MS" w:eastAsia="Trebuchet MS" w:hAnsi="Trebuchet MS" w:cs="Trebuchet MS"/>
          <w:b/>
          <w:bCs/>
        </w:rPr>
      </w:pPr>
      <w:r>
        <w:rPr>
          <w:rStyle w:val="None"/>
          <w:rFonts w:ascii="Calibri" w:eastAsia="Calibri" w:hAnsi="Calibri" w:cs="Calibri"/>
          <w:color w:val="222222"/>
          <w:u w:color="222222"/>
        </w:rPr>
        <w:t>Light microscope - 4x, 10x, 20x, 50x, and 100x microscope objectives with brightfield/darkfield oil immersion, and long working distance options</w:t>
      </w:r>
    </w:p>
    <w:p w14:paraId="38BF94B5" w14:textId="77777777" w:rsidR="00AA6924" w:rsidRDefault="00AA6924">
      <w:pPr>
        <w:suppressAutoHyphens/>
      </w:pPr>
    </w:p>
    <w:p w14:paraId="28B8AA30" w14:textId="77777777" w:rsidR="00AA6924" w:rsidRDefault="001777E2">
      <w:pPr>
        <w:suppressAutoHyphens/>
        <w:spacing w:after="100"/>
        <w:rPr>
          <w:rStyle w:val="None"/>
          <w:b/>
          <w:bCs/>
          <w:sz w:val="32"/>
          <w:szCs w:val="32"/>
        </w:rPr>
      </w:pPr>
      <w:r>
        <w:rPr>
          <w:rStyle w:val="None"/>
          <w:b/>
          <w:bCs/>
          <w:sz w:val="32"/>
          <w:szCs w:val="32"/>
        </w:rPr>
        <w:lastRenderedPageBreak/>
        <w:t>Specification of expertise relevant to NanoEnviCz workpackages:</w:t>
      </w:r>
    </w:p>
    <w:p w14:paraId="4F65C363" w14:textId="77777777" w:rsidR="00664016" w:rsidRPr="00664016" w:rsidRDefault="00664016">
      <w:pPr>
        <w:suppressAutoHyphens/>
        <w:spacing w:after="100"/>
        <w:rPr>
          <w:rStyle w:val="None"/>
          <w:b/>
          <w:bCs/>
        </w:rPr>
      </w:pPr>
      <w:r w:rsidRPr="00664016">
        <w:rPr>
          <w:rFonts w:cs="Arial"/>
          <w:b/>
          <w:lang w:val="de-DE"/>
        </w:rPr>
        <w:t>WP3</w:t>
      </w:r>
      <w:r w:rsidRPr="00664016">
        <w:rPr>
          <w:rFonts w:cs="Arial"/>
          <w:lang w:val="de-DE"/>
        </w:rPr>
        <w:t xml:space="preserve">a,c-h, </w:t>
      </w:r>
      <w:r w:rsidRPr="00664016">
        <w:rPr>
          <w:rFonts w:cs="Arial"/>
          <w:b/>
          <w:lang w:val="de-DE"/>
        </w:rPr>
        <w:t>WP4</w:t>
      </w:r>
      <w:r w:rsidRPr="00664016">
        <w:rPr>
          <w:rFonts w:cs="Arial"/>
          <w:lang w:val="de-DE"/>
        </w:rPr>
        <w:t xml:space="preserve">a,b, </w:t>
      </w:r>
      <w:r w:rsidRPr="00664016">
        <w:rPr>
          <w:rFonts w:cs="Arial"/>
          <w:b/>
          <w:lang w:val="de-DE"/>
        </w:rPr>
        <w:t>WP6</w:t>
      </w:r>
      <w:r w:rsidRPr="00664016">
        <w:rPr>
          <w:rFonts w:cs="Arial"/>
          <w:lang w:val="de-DE"/>
        </w:rPr>
        <w:t>a,d-f,</w:t>
      </w:r>
      <w:r w:rsidRPr="00664016">
        <w:rPr>
          <w:rFonts w:cs="Arial"/>
          <w:b/>
          <w:lang w:val="de-DE"/>
        </w:rPr>
        <w:t xml:space="preserve"> WP7</w:t>
      </w:r>
      <w:r w:rsidRPr="00664016">
        <w:rPr>
          <w:rFonts w:cs="Arial"/>
          <w:lang w:val="de-DE"/>
        </w:rPr>
        <w:t>a,b,c,h,</w:t>
      </w:r>
      <w:r w:rsidRPr="00664016">
        <w:rPr>
          <w:rFonts w:cs="Arial"/>
          <w:b/>
          <w:lang w:val="de-DE"/>
        </w:rPr>
        <w:t xml:space="preserve"> WP9</w:t>
      </w:r>
      <w:r w:rsidRPr="00664016">
        <w:rPr>
          <w:rFonts w:cs="Arial"/>
          <w:lang w:val="de-DE"/>
        </w:rPr>
        <w:t>b</w:t>
      </w:r>
    </w:p>
    <w:p w14:paraId="0E057F8A" w14:textId="77777777" w:rsidR="00AA6924" w:rsidRDefault="00AA6924">
      <w:pPr>
        <w:suppressAutoHyphens/>
        <w:spacing w:after="100"/>
        <w:rPr>
          <w:rStyle w:val="None"/>
          <w:b/>
          <w:bCs/>
        </w:rPr>
      </w:pPr>
    </w:p>
    <w:p w14:paraId="03FA8B0E" w14:textId="77777777" w:rsidR="00AA6924" w:rsidRDefault="00AA6924">
      <w:pPr>
        <w:widowControl w:val="0"/>
        <w:suppressAutoHyphens/>
        <w:spacing w:after="100" w:line="240" w:lineRule="auto"/>
        <w:ind w:left="432" w:hanging="432"/>
        <w:rPr>
          <w:rStyle w:val="None"/>
          <w:b/>
          <w:bCs/>
        </w:rPr>
      </w:pPr>
    </w:p>
    <w:p w14:paraId="3DB55B39" w14:textId="77777777" w:rsidR="00AA6924" w:rsidRDefault="001777E2">
      <w:pPr>
        <w:suppressAutoHyphens/>
        <w:rPr>
          <w:rStyle w:val="None"/>
          <w:b/>
          <w:bCs/>
          <w:sz w:val="32"/>
          <w:szCs w:val="32"/>
        </w:rPr>
      </w:pPr>
      <w:r>
        <w:rPr>
          <w:rStyle w:val="None"/>
          <w:b/>
          <w:bCs/>
          <w:sz w:val="32"/>
          <w:szCs w:val="32"/>
        </w:rPr>
        <w:t xml:space="preserve">Detailed description of expertise </w:t>
      </w:r>
    </w:p>
    <w:p w14:paraId="717969F4" w14:textId="77777777" w:rsidR="00AA6924" w:rsidRDefault="001777E2">
      <w:pPr>
        <w:suppressAutoHyphens/>
      </w:pPr>
      <w:r>
        <w:rPr>
          <w:rStyle w:val="None"/>
          <w:b/>
          <w:bCs/>
        </w:rPr>
        <w:t>Please, specify the main research topics connected with equipment</w:t>
      </w:r>
      <w:r>
        <w:t>:</w:t>
      </w:r>
    </w:p>
    <w:p w14:paraId="59E2A415" w14:textId="77777777" w:rsidR="00AA6924" w:rsidRDefault="001777E2">
      <w:pPr>
        <w:numPr>
          <w:ilvl w:val="0"/>
          <w:numId w:val="2"/>
        </w:numPr>
        <w:suppressAutoHyphens/>
      </w:pPr>
      <w:r>
        <w:t>Phase identification of the prepared materials (nanoparticles of metal oxides, carbon materials, thin films, etc.)</w:t>
      </w:r>
    </w:p>
    <w:p w14:paraId="66BDAFF0" w14:textId="77777777" w:rsidR="00AA6924" w:rsidRDefault="001777E2">
      <w:pPr>
        <w:numPr>
          <w:ilvl w:val="0"/>
          <w:numId w:val="2"/>
        </w:numPr>
        <w:suppressAutoHyphens/>
      </w:pPr>
      <w:r>
        <w:t>Identification of the molecular structure of the various chemical compounds (composites, mixed oxides, catalysts, etc.)</w:t>
      </w:r>
      <w:r>
        <w:br/>
      </w:r>
    </w:p>
    <w:p w14:paraId="16138320" w14:textId="77777777" w:rsidR="00AA6924" w:rsidRDefault="001777E2">
      <w:pPr>
        <w:suppressAutoHyphens/>
      </w:pPr>
      <w:r>
        <w:rPr>
          <w:rStyle w:val="None"/>
          <w:b/>
          <w:bCs/>
        </w:rPr>
        <w:t>Please, specify the secondary research topics connected with equipment</w:t>
      </w:r>
      <w:r>
        <w:t xml:space="preserve">: </w:t>
      </w:r>
    </w:p>
    <w:p w14:paraId="059A1C8C" w14:textId="77777777" w:rsidR="00AA6924" w:rsidRDefault="001777E2">
      <w:pPr>
        <w:suppressAutoHyphens/>
      </w:pPr>
      <w:r>
        <w:t xml:space="preserve">Phase identification and spatial distribution of species and chemical individuals in various samples (mixed oxides, catalysts, sorbents)  </w:t>
      </w:r>
    </w:p>
    <w:p w14:paraId="0445EA00" w14:textId="77777777" w:rsidR="00AA6924" w:rsidRDefault="001777E2">
      <w:pPr>
        <w:suppressAutoHyphens/>
        <w:rPr>
          <w:rStyle w:val="None"/>
          <w:b/>
          <w:bCs/>
        </w:rPr>
      </w:pPr>
      <w:r>
        <w:rPr>
          <w:rStyle w:val="None"/>
          <w:b/>
          <w:bCs/>
        </w:rPr>
        <w:t>Keywords describing research area:</w:t>
      </w:r>
    </w:p>
    <w:p w14:paraId="092EABE3" w14:textId="77777777" w:rsidR="00AA6924" w:rsidRDefault="001777E2">
      <w:pPr>
        <w:suppressAutoHyphens/>
      </w:pPr>
      <w:r>
        <w:t>Phase identification, determination of molecular structure, spatial distribution</w:t>
      </w:r>
    </w:p>
    <w:p w14:paraId="5E84EB8B" w14:textId="77777777" w:rsidR="00DD6381" w:rsidRDefault="00DD6381">
      <w:pPr>
        <w:suppressAutoHyphens/>
        <w:rPr>
          <w:rStyle w:val="None"/>
          <w:b/>
          <w:bCs/>
          <w:sz w:val="32"/>
          <w:szCs w:val="32"/>
        </w:rPr>
      </w:pPr>
    </w:p>
    <w:p w14:paraId="2C4D29A9" w14:textId="77777777" w:rsidR="00AA6924" w:rsidRDefault="001777E2">
      <w:pPr>
        <w:suppressAutoHyphens/>
        <w:rPr>
          <w:rStyle w:val="None"/>
          <w:b/>
          <w:bCs/>
          <w:sz w:val="32"/>
          <w:szCs w:val="32"/>
        </w:rPr>
      </w:pPr>
      <w:r>
        <w:rPr>
          <w:rStyle w:val="None"/>
          <w:b/>
          <w:bCs/>
          <w:sz w:val="32"/>
          <w:szCs w:val="32"/>
        </w:rPr>
        <w:t>Competence</w:t>
      </w:r>
    </w:p>
    <w:p w14:paraId="2743FD08" w14:textId="77777777" w:rsidR="00AA6924" w:rsidRDefault="001777E2">
      <w:pPr>
        <w:suppressAutoHyphens/>
        <w:rPr>
          <w:rStyle w:val="None"/>
          <w:b/>
          <w:bCs/>
        </w:rPr>
      </w:pPr>
      <w:r>
        <w:rPr>
          <w:rStyle w:val="None"/>
          <w:b/>
          <w:bCs/>
        </w:rPr>
        <w:t>Relevance for applied and industrial research:</w:t>
      </w:r>
    </w:p>
    <w:p w14:paraId="764EDE11" w14:textId="77777777" w:rsidR="00AA6924" w:rsidRDefault="001777E2">
      <w:pPr>
        <w:suppressAutoHyphens/>
      </w:pPr>
      <w:r>
        <w:t>Fast identification and phase analysis of the chemical individuals with high spatial resolution.</w:t>
      </w:r>
    </w:p>
    <w:p w14:paraId="4AAA1AED" w14:textId="77777777" w:rsidR="00AA6924" w:rsidRDefault="001777E2">
      <w:pPr>
        <w:suppressAutoHyphens/>
        <w:rPr>
          <w:rStyle w:val="None"/>
          <w:b/>
          <w:bCs/>
        </w:rPr>
      </w:pPr>
      <w:r>
        <w:rPr>
          <w:rStyle w:val="None"/>
          <w:b/>
          <w:bCs/>
        </w:rPr>
        <w:t>Relevance for fundamental studies:</w:t>
      </w:r>
    </w:p>
    <w:p w14:paraId="7AD7CD89" w14:textId="77777777" w:rsidR="00AA6924" w:rsidRDefault="001777E2">
      <w:pPr>
        <w:suppressAutoHyphens/>
        <w:rPr>
          <w:rStyle w:val="None"/>
          <w:b/>
          <w:bCs/>
        </w:rPr>
      </w:pPr>
      <w:r>
        <w:t>Precise identification of chemical species, phase analysis and distribution of chemical individuals in various inorganic or organic samples with high spatial resolution.</w:t>
      </w:r>
    </w:p>
    <w:sectPr w:rsidR="00AA692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A3DD9" w14:textId="77777777" w:rsidR="004C2143" w:rsidRDefault="004C2143">
      <w:pPr>
        <w:spacing w:after="0" w:line="240" w:lineRule="auto"/>
      </w:pPr>
      <w:r>
        <w:separator/>
      </w:r>
    </w:p>
  </w:endnote>
  <w:endnote w:type="continuationSeparator" w:id="0">
    <w:p w14:paraId="5EAFE896" w14:textId="77777777" w:rsidR="004C2143" w:rsidRDefault="004C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C03E" w14:textId="77777777" w:rsidR="00AA6924" w:rsidRDefault="00AA692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83973" w14:textId="77777777" w:rsidR="004C2143" w:rsidRDefault="004C2143">
      <w:pPr>
        <w:spacing w:after="0" w:line="240" w:lineRule="auto"/>
      </w:pPr>
      <w:r>
        <w:separator/>
      </w:r>
    </w:p>
  </w:footnote>
  <w:footnote w:type="continuationSeparator" w:id="0">
    <w:p w14:paraId="0541A2E2" w14:textId="77777777" w:rsidR="004C2143" w:rsidRDefault="004C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E73D" w14:textId="77777777" w:rsidR="00AA6924" w:rsidRDefault="00AA692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04495"/>
    <w:multiLevelType w:val="hybridMultilevel"/>
    <w:tmpl w:val="CDE67522"/>
    <w:numStyleLink w:val="Lettered"/>
  </w:abstractNum>
  <w:abstractNum w:abstractNumId="1" w15:restartNumberingAfterBreak="0">
    <w:nsid w:val="7A52728A"/>
    <w:multiLevelType w:val="hybridMultilevel"/>
    <w:tmpl w:val="CDE67522"/>
    <w:styleLink w:val="Lettered"/>
    <w:lvl w:ilvl="0" w:tplc="18EED8C4">
      <w:start w:val="1"/>
      <w:numFmt w:val="decimal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9C0D68">
      <w:start w:val="1"/>
      <w:numFmt w:val="decimal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4E1184">
      <w:start w:val="1"/>
      <w:numFmt w:val="decimal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EE0DDA">
      <w:start w:val="1"/>
      <w:numFmt w:val="decimal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E23290">
      <w:start w:val="1"/>
      <w:numFmt w:val="decimal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22F8A0">
      <w:start w:val="1"/>
      <w:numFmt w:val="decimal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305398">
      <w:start w:val="1"/>
      <w:numFmt w:val="decimal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1CEE78">
      <w:start w:val="1"/>
      <w:numFmt w:val="decimal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249084">
      <w:start w:val="1"/>
      <w:numFmt w:val="decimal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91926893">
    <w:abstractNumId w:val="1"/>
  </w:num>
  <w:num w:numId="2" w16cid:durableId="172656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6924"/>
    <w:rsid w:val="0005626C"/>
    <w:rsid w:val="001777E2"/>
    <w:rsid w:val="003F262B"/>
    <w:rsid w:val="004C2143"/>
    <w:rsid w:val="00600B3D"/>
    <w:rsid w:val="00664016"/>
    <w:rsid w:val="00720B40"/>
    <w:rsid w:val="00A256E4"/>
    <w:rsid w:val="00A669B2"/>
    <w:rsid w:val="00AA6924"/>
    <w:rsid w:val="00C80281"/>
    <w:rsid w:val="00C9777D"/>
    <w:rsid w:val="00CD193A"/>
    <w:rsid w:val="00DD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52ED"/>
  <w15:docId w15:val="{BBC90108-C808-4C6F-B284-F2E3ACE2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NoneA">
    <w:name w:val="None A"/>
    <w:rPr>
      <w:lang w:val="en-US"/>
    </w:rPr>
  </w:style>
  <w:style w:type="numbering" w:customStyle="1" w:styleId="Lettered">
    <w:name w:val="Lettered"/>
    <w:pPr>
      <w:numPr>
        <w:numId w:val="1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600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rchard@iic.c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Macounova</dc:creator>
  <cp:lastModifiedBy>Andrea Krupová</cp:lastModifiedBy>
  <cp:revision>7</cp:revision>
  <dcterms:created xsi:type="dcterms:W3CDTF">2016-03-04T12:30:00Z</dcterms:created>
  <dcterms:modified xsi:type="dcterms:W3CDTF">2023-10-20T08:15:00Z</dcterms:modified>
</cp:coreProperties>
</file>