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E69" w:rsidRPr="000B5E69" w:rsidRDefault="00D80AB8" w:rsidP="00A66F2F">
      <w:pPr>
        <w:rPr>
          <w:b/>
          <w:sz w:val="36"/>
          <w:szCs w:val="36"/>
          <w:lang w:val="cs-CZ"/>
        </w:rPr>
      </w:pPr>
      <w:r w:rsidRPr="00D80AB8">
        <w:rPr>
          <w:rFonts w:cs="Arial"/>
          <w:b/>
          <w:sz w:val="36"/>
          <w:szCs w:val="36"/>
        </w:rPr>
        <w:t xml:space="preserve">The </w:t>
      </w:r>
      <w:proofErr w:type="spellStart"/>
      <w:r w:rsidRPr="00D80AB8">
        <w:rPr>
          <w:rFonts w:cs="Arial"/>
          <w:b/>
          <w:sz w:val="36"/>
          <w:szCs w:val="36"/>
        </w:rPr>
        <w:t>LightCycler</w:t>
      </w:r>
      <w:proofErr w:type="spellEnd"/>
      <w:r w:rsidRPr="00D80AB8">
        <w:rPr>
          <w:rFonts w:cs="Arial"/>
          <w:b/>
          <w:sz w:val="36"/>
          <w:szCs w:val="36"/>
        </w:rPr>
        <w:t>® 480 Real-Time PCR</w:t>
      </w:r>
      <w:r>
        <w:rPr>
          <w:rFonts w:cs="Arial"/>
          <w:b/>
          <w:sz w:val="36"/>
          <w:szCs w:val="36"/>
        </w:rPr>
        <w:t xml:space="preserve"> </w:t>
      </w:r>
      <w:r w:rsidRPr="00D80AB8">
        <w:rPr>
          <w:rFonts w:cs="Arial"/>
          <w:b/>
          <w:sz w:val="36"/>
          <w:szCs w:val="36"/>
        </w:rPr>
        <w:t>System</w:t>
      </w:r>
    </w:p>
    <w:p w:rsidR="000B5E69" w:rsidRDefault="000B5E69" w:rsidP="00A66F2F">
      <w:pPr>
        <w:rPr>
          <w:b/>
          <w:lang w:val="cs-CZ"/>
        </w:rPr>
      </w:pPr>
    </w:p>
    <w:p w:rsidR="000E22E4" w:rsidRPr="00675B04" w:rsidRDefault="00A66F2F" w:rsidP="00A66F2F">
      <w:pPr>
        <w:rPr>
          <w:lang w:val="cs-CZ"/>
        </w:rPr>
      </w:pPr>
      <w:proofErr w:type="spellStart"/>
      <w:r w:rsidRPr="00675B04">
        <w:rPr>
          <w:b/>
          <w:lang w:val="cs-CZ"/>
        </w:rPr>
        <w:t>Equipment</w:t>
      </w:r>
      <w:proofErr w:type="spellEnd"/>
      <w:r w:rsidRPr="00675B04">
        <w:rPr>
          <w:b/>
          <w:lang w:val="cs-CZ"/>
        </w:rPr>
        <w:t>:</w:t>
      </w:r>
      <w:r w:rsidR="00141189" w:rsidRPr="00675B04">
        <w:rPr>
          <w:b/>
          <w:lang w:val="cs-CZ"/>
        </w:rPr>
        <w:t xml:space="preserve"> </w:t>
      </w:r>
      <w:proofErr w:type="spellStart"/>
      <w:r w:rsidR="00D80AB8" w:rsidRPr="00D80AB8">
        <w:rPr>
          <w:lang w:val="cs-CZ"/>
        </w:rPr>
        <w:t>LightCycler</w:t>
      </w:r>
      <w:proofErr w:type="spellEnd"/>
      <w:r w:rsidR="00D80AB8" w:rsidRPr="00D80AB8">
        <w:rPr>
          <w:lang w:val="cs-CZ"/>
        </w:rPr>
        <w:t>® 480</w:t>
      </w:r>
      <w:r w:rsidR="00D80AB8">
        <w:rPr>
          <w:lang w:val="cs-CZ"/>
        </w:rPr>
        <w:t xml:space="preserve"> II</w:t>
      </w:r>
    </w:p>
    <w:p w:rsidR="00A66F2F" w:rsidRPr="00675B04" w:rsidRDefault="00A66F2F" w:rsidP="00A66F2F">
      <w:pPr>
        <w:rPr>
          <w:b/>
        </w:rPr>
      </w:pPr>
      <w:r w:rsidRPr="00675B04">
        <w:rPr>
          <w:b/>
        </w:rPr>
        <w:t xml:space="preserve">No. of Equipment: </w:t>
      </w:r>
      <w:r w:rsidR="00697D5A">
        <w:rPr>
          <w:b/>
        </w:rPr>
        <w:t>IEM</w:t>
      </w:r>
      <w:r w:rsidR="00D80AB8">
        <w:rPr>
          <w:b/>
        </w:rPr>
        <w:t>11</w:t>
      </w:r>
    </w:p>
    <w:p w:rsidR="00A66F2F" w:rsidRPr="00675B04" w:rsidRDefault="00A66F2F" w:rsidP="00A66F2F">
      <w:pPr>
        <w:rPr>
          <w:b/>
        </w:rPr>
      </w:pPr>
      <w:r w:rsidRPr="00675B04">
        <w:rPr>
          <w:b/>
        </w:rPr>
        <w:t>Responsible coordinator:</w:t>
      </w:r>
      <w:r w:rsidR="00141189" w:rsidRPr="00675B04">
        <w:rPr>
          <w:b/>
        </w:rPr>
        <w:t xml:space="preserve"> </w:t>
      </w:r>
      <w:r w:rsidR="00141189" w:rsidRPr="00675B04">
        <w:t>Dr. P</w:t>
      </w:r>
      <w:r w:rsidR="00675B04" w:rsidRPr="00675B04">
        <w:t>avel Rossner, PhD.</w:t>
      </w:r>
    </w:p>
    <w:p w:rsidR="00A66F2F" w:rsidRPr="00675B04" w:rsidRDefault="002A071C" w:rsidP="00A66F2F">
      <w:pPr>
        <w:rPr>
          <w:b/>
        </w:rPr>
      </w:pPr>
      <w:r w:rsidRPr="00675B04">
        <w:rPr>
          <w:b/>
        </w:rPr>
        <w:t xml:space="preserve">Name of </w:t>
      </w:r>
      <w:r w:rsidR="00A66F2F" w:rsidRPr="00675B04">
        <w:rPr>
          <w:b/>
        </w:rPr>
        <w:t>Institution:</w:t>
      </w:r>
      <w:r w:rsidR="00141189" w:rsidRPr="00675B04">
        <w:rPr>
          <w:b/>
        </w:rPr>
        <w:t xml:space="preserve"> </w:t>
      </w:r>
      <w:r w:rsidR="00151529">
        <w:rPr>
          <w:bCs/>
          <w:lang w:val="en-GB"/>
        </w:rPr>
        <w:t>Institute of Ex</w:t>
      </w:r>
      <w:r w:rsidR="00675B04" w:rsidRPr="00675B04">
        <w:rPr>
          <w:bCs/>
          <w:lang w:val="en-GB"/>
        </w:rPr>
        <w:t>perimental Medicine, CAS</w:t>
      </w:r>
    </w:p>
    <w:p w:rsidR="0009683E" w:rsidRPr="00675B04" w:rsidRDefault="002A071C" w:rsidP="0009683E">
      <w:pPr>
        <w:spacing w:before="120" w:after="120"/>
        <w:rPr>
          <w:rFonts w:cs="Arial"/>
          <w:lang w:val="en-GB"/>
        </w:rPr>
      </w:pPr>
      <w:r w:rsidRPr="00675B04">
        <w:rPr>
          <w:b/>
        </w:rPr>
        <w:t>Address of Institution:</w:t>
      </w:r>
      <w:r w:rsidR="0009683E" w:rsidRPr="00675B04">
        <w:rPr>
          <w:b/>
        </w:rPr>
        <w:t xml:space="preserve"> </w:t>
      </w:r>
      <w:r w:rsidR="00675B04" w:rsidRPr="00675B04">
        <w:t>Vídeňská 1083, 142 20 Prague 4,</w:t>
      </w:r>
      <w:r w:rsidR="00675B04" w:rsidRPr="00675B04">
        <w:rPr>
          <w:rFonts w:cs="Arial"/>
          <w:lang w:val="en-GB"/>
        </w:rPr>
        <w:t xml:space="preserve"> Czech Republic</w:t>
      </w:r>
    </w:p>
    <w:p w:rsidR="00675B04" w:rsidRPr="00D80AB8" w:rsidRDefault="002A071C" w:rsidP="00675B04">
      <w:pPr>
        <w:spacing w:before="120" w:after="120"/>
        <w:rPr>
          <w:lang w:val="de-DE"/>
        </w:rPr>
      </w:pPr>
      <w:r w:rsidRPr="00D80AB8">
        <w:rPr>
          <w:b/>
          <w:lang w:val="de-DE"/>
        </w:rPr>
        <w:t>E-mail:</w:t>
      </w:r>
      <w:r w:rsidR="0009683E" w:rsidRPr="00D80AB8">
        <w:rPr>
          <w:b/>
          <w:lang w:val="de-DE"/>
        </w:rPr>
        <w:t xml:space="preserve"> </w:t>
      </w:r>
      <w:hyperlink r:id="rId5" w:history="1">
        <w:r w:rsidR="00D80AB8" w:rsidRPr="00D80AB8">
          <w:rPr>
            <w:lang w:val="de-DE"/>
          </w:rPr>
          <w:t xml:space="preserve"> </w:t>
        </w:r>
        <w:r w:rsidR="00D80AB8" w:rsidRPr="00D80AB8">
          <w:rPr>
            <w:rStyle w:val="Hyperlink"/>
            <w:lang w:val="de-DE"/>
          </w:rPr>
          <w:t>pavel.rossner@iem.cas.cz</w:t>
        </w:r>
      </w:hyperlink>
    </w:p>
    <w:p w:rsidR="00A66F2F" w:rsidRPr="00675B04" w:rsidRDefault="00A66F2F" w:rsidP="00675B04">
      <w:pPr>
        <w:spacing w:before="120" w:after="120"/>
        <w:rPr>
          <w:b/>
        </w:rPr>
      </w:pPr>
      <w:r w:rsidRPr="00675B04">
        <w:rPr>
          <w:b/>
        </w:rPr>
        <w:t>Telephone:</w:t>
      </w:r>
      <w:r w:rsidR="0009683E" w:rsidRPr="00675B04">
        <w:rPr>
          <w:b/>
        </w:rPr>
        <w:t xml:space="preserve"> </w:t>
      </w:r>
      <w:r w:rsidR="0009683E" w:rsidRPr="00675B04">
        <w:rPr>
          <w:lang w:val="en-GB"/>
        </w:rPr>
        <w:t xml:space="preserve">+420 </w:t>
      </w:r>
      <w:r w:rsidR="00151529">
        <w:rPr>
          <w:lang w:val="en-GB"/>
        </w:rPr>
        <w:t>241062763</w:t>
      </w:r>
    </w:p>
    <w:p w:rsidR="006A44A8" w:rsidRDefault="005A1001" w:rsidP="006A44A8">
      <w:pPr>
        <w:spacing w:before="120" w:after="120"/>
        <w:rPr>
          <w:lang w:val="en-GB"/>
        </w:rPr>
      </w:pPr>
      <w:r w:rsidRPr="00675B04">
        <w:rPr>
          <w:b/>
        </w:rPr>
        <w:t>Homepage:</w:t>
      </w:r>
      <w:r w:rsidR="0009683E" w:rsidRPr="00675B04">
        <w:rPr>
          <w:b/>
        </w:rPr>
        <w:t xml:space="preserve"> </w:t>
      </w:r>
      <w:hyperlink r:id="rId6" w:history="1">
        <w:r w:rsidR="006A44A8" w:rsidRPr="00A634AD">
          <w:rPr>
            <w:rStyle w:val="Hyperlink"/>
            <w:lang w:val="en-GB"/>
          </w:rPr>
          <w:t>http://www.iem.cas.cz/</w:t>
        </w:r>
      </w:hyperlink>
    </w:p>
    <w:p w:rsidR="0086289B" w:rsidRPr="00151529" w:rsidRDefault="0086289B" w:rsidP="006A44A8">
      <w:pPr>
        <w:spacing w:before="120" w:after="120"/>
        <w:rPr>
          <w:b/>
          <w:lang w:val="cs-CZ"/>
        </w:rPr>
      </w:pPr>
      <w:r w:rsidRPr="00675B04">
        <w:rPr>
          <w:b/>
        </w:rPr>
        <w:t>Contact person:</w:t>
      </w:r>
      <w:r w:rsidR="0009683E" w:rsidRPr="00675B04">
        <w:rPr>
          <w:b/>
        </w:rPr>
        <w:t xml:space="preserve"> </w:t>
      </w:r>
      <w:r w:rsidR="00D80AB8">
        <w:t xml:space="preserve">Michal </w:t>
      </w:r>
      <w:proofErr w:type="spellStart"/>
      <w:r w:rsidR="00D80AB8">
        <w:t>Šíma</w:t>
      </w:r>
      <w:proofErr w:type="spellEnd"/>
      <w:r w:rsidR="00D80AB8">
        <w:t>, Ph.D.</w:t>
      </w:r>
    </w:p>
    <w:p w:rsidR="0086289B" w:rsidRPr="00D80AB8" w:rsidRDefault="0086289B" w:rsidP="0009683E">
      <w:pPr>
        <w:spacing w:before="120" w:after="120"/>
        <w:rPr>
          <w:lang w:val="de-DE"/>
        </w:rPr>
      </w:pPr>
      <w:r w:rsidRPr="00D80AB8">
        <w:rPr>
          <w:b/>
          <w:lang w:val="de-DE"/>
        </w:rPr>
        <w:t>E-mail:</w:t>
      </w:r>
      <w:r w:rsidR="0009683E" w:rsidRPr="00D80AB8">
        <w:rPr>
          <w:b/>
          <w:lang w:val="de-DE"/>
        </w:rPr>
        <w:t xml:space="preserve"> </w:t>
      </w:r>
      <w:hyperlink r:id="rId7" w:history="1">
        <w:r w:rsidR="00D80AB8" w:rsidRPr="003D73A6">
          <w:rPr>
            <w:rStyle w:val="Hyperlink"/>
            <w:lang w:val="de-DE"/>
          </w:rPr>
          <w:t>michal.sima@iem.cas.cz</w:t>
        </w:r>
      </w:hyperlink>
    </w:p>
    <w:p w:rsidR="0009683E" w:rsidRDefault="0086289B" w:rsidP="0009683E">
      <w:pPr>
        <w:rPr>
          <w:lang w:val="en-GB"/>
        </w:rPr>
      </w:pPr>
      <w:r w:rsidRPr="00396353">
        <w:rPr>
          <w:b/>
        </w:rPr>
        <w:t>Telephon</w:t>
      </w:r>
      <w:r w:rsidR="00250847" w:rsidRPr="00396353">
        <w:rPr>
          <w:b/>
        </w:rPr>
        <w:t>e</w:t>
      </w:r>
      <w:r w:rsidRPr="00396353">
        <w:rPr>
          <w:b/>
        </w:rPr>
        <w:t>:</w:t>
      </w:r>
      <w:r w:rsidR="0009683E">
        <w:rPr>
          <w:b/>
        </w:rPr>
        <w:t xml:space="preserve"> </w:t>
      </w:r>
      <w:r w:rsidR="0009683E" w:rsidRPr="004A6762">
        <w:rPr>
          <w:lang w:val="en-GB"/>
        </w:rPr>
        <w:t xml:space="preserve">+420 </w:t>
      </w:r>
      <w:r w:rsidR="00151529">
        <w:rPr>
          <w:lang w:val="en-GB"/>
        </w:rPr>
        <w:t>24106266</w:t>
      </w:r>
      <w:r w:rsidR="00D80AB8">
        <w:rPr>
          <w:lang w:val="en-GB"/>
        </w:rPr>
        <w:t>9</w:t>
      </w:r>
    </w:p>
    <w:p w:rsidR="00A14F6F" w:rsidRPr="00A14F6F" w:rsidRDefault="00A14F6F" w:rsidP="0009683E">
      <w:pPr>
        <w:contextualSpacing/>
        <w:rPr>
          <w:b/>
          <w:sz w:val="20"/>
          <w:szCs w:val="20"/>
        </w:rPr>
      </w:pPr>
    </w:p>
    <w:p w:rsidR="00A66F2F" w:rsidRPr="005A1001" w:rsidRDefault="009C2AFC" w:rsidP="00A66F2F">
      <w:pPr>
        <w:rPr>
          <w:b/>
          <w:sz w:val="32"/>
          <w:szCs w:val="32"/>
        </w:rPr>
      </w:pPr>
      <w:bookmarkStart w:id="0" w:name="_GoBack"/>
      <w:bookmarkEnd w:id="0"/>
      <w:r w:rsidRPr="005A1001">
        <w:rPr>
          <w:b/>
          <w:sz w:val="32"/>
          <w:szCs w:val="32"/>
        </w:rPr>
        <w:t>Equipment Description</w:t>
      </w:r>
    </w:p>
    <w:p w:rsidR="0009683E" w:rsidRDefault="00B70C42" w:rsidP="0009683E">
      <w:pPr>
        <w:spacing w:before="120" w:after="120"/>
        <w:contextualSpacing/>
        <w:rPr>
          <w:rFonts w:cs="Helvetica"/>
          <w:color w:val="333333"/>
          <w:shd w:val="clear" w:color="auto" w:fill="FFFFFF"/>
        </w:rPr>
      </w:pPr>
      <w:r w:rsidRPr="00B70C42">
        <w:rPr>
          <w:rFonts w:cs="Helvetica"/>
          <w:color w:val="333333"/>
          <w:shd w:val="clear" w:color="auto" w:fill="FFFFFF"/>
        </w:rPr>
        <w:t xml:space="preserve">The </w:t>
      </w:r>
      <w:proofErr w:type="spellStart"/>
      <w:r w:rsidRPr="00B70C42">
        <w:rPr>
          <w:rFonts w:cs="Helvetica"/>
          <w:color w:val="333333"/>
          <w:shd w:val="clear" w:color="auto" w:fill="FFFFFF"/>
        </w:rPr>
        <w:t>LightCycler</w:t>
      </w:r>
      <w:proofErr w:type="spellEnd"/>
      <w:r w:rsidRPr="00B70C42">
        <w:rPr>
          <w:rFonts w:cs="Helvetica"/>
          <w:color w:val="333333"/>
          <w:shd w:val="clear" w:color="auto" w:fill="FFFFFF"/>
        </w:rPr>
        <w:t>® 480 System is a plate-based, highly adaptable and versatile real-time PCR system for gene expression analysis, SNP genotyping, and mutation scanning via high resolution melting (HRM).</w:t>
      </w:r>
    </w:p>
    <w:p w:rsidR="00F86A21" w:rsidRPr="00F86A21" w:rsidRDefault="00F86A21" w:rsidP="00F86A21">
      <w:pPr>
        <w:spacing w:before="120" w:after="120"/>
        <w:contextualSpacing/>
        <w:rPr>
          <w:rStyle w:val="apple-converted-space"/>
          <w:rFonts w:cs="Helvetica"/>
          <w:color w:val="333333"/>
          <w:shd w:val="clear" w:color="auto" w:fill="FFFFFF"/>
        </w:rPr>
      </w:pPr>
      <w:r w:rsidRPr="00F86A21">
        <w:rPr>
          <w:rStyle w:val="apple-converted-space"/>
          <w:rFonts w:cs="Helvetica"/>
          <w:color w:val="333333"/>
          <w:shd w:val="clear" w:color="auto" w:fill="FFFFFF"/>
        </w:rPr>
        <w:t xml:space="preserve">Key benefits of the </w:t>
      </w:r>
      <w:proofErr w:type="spellStart"/>
      <w:r w:rsidRPr="00F86A21">
        <w:rPr>
          <w:rStyle w:val="apple-converted-space"/>
          <w:rFonts w:cs="Helvetica"/>
          <w:color w:val="333333"/>
          <w:shd w:val="clear" w:color="auto" w:fill="FFFFFF"/>
        </w:rPr>
        <w:t>LightCycler</w:t>
      </w:r>
      <w:proofErr w:type="spellEnd"/>
      <w:r w:rsidRPr="00F86A21">
        <w:rPr>
          <w:rStyle w:val="apple-converted-space"/>
          <w:rFonts w:cs="Helvetica"/>
          <w:color w:val="333333"/>
          <w:shd w:val="clear" w:color="auto" w:fill="FFFFFF"/>
        </w:rPr>
        <w:t>® 480 Thermal Block Cycler:</w:t>
      </w:r>
    </w:p>
    <w:p w:rsidR="00F86A21" w:rsidRPr="00F86A21" w:rsidRDefault="00F86A21" w:rsidP="00F86A21">
      <w:pPr>
        <w:spacing w:before="120" w:after="120"/>
        <w:contextualSpacing/>
        <w:rPr>
          <w:rStyle w:val="apple-converted-space"/>
          <w:rFonts w:cs="Helvetica"/>
          <w:color w:val="333333"/>
          <w:shd w:val="clear" w:color="auto" w:fill="FFFFFF"/>
        </w:rPr>
      </w:pPr>
      <w:r w:rsidRPr="00F86A21">
        <w:rPr>
          <w:rStyle w:val="apple-converted-space"/>
          <w:rFonts w:cs="Helvetica"/>
          <w:color w:val="333333"/>
          <w:shd w:val="clear" w:color="auto" w:fill="FFFFFF"/>
        </w:rPr>
        <w:t>- Run any assay format or application with fast PCR protocols (</w:t>
      </w:r>
      <w:r>
        <w:rPr>
          <w:rStyle w:val="apple-converted-space"/>
          <w:rFonts w:cstheme="minorHAnsi"/>
          <w:color w:val="333333"/>
          <w:shd w:val="clear" w:color="auto" w:fill="FFFFFF"/>
        </w:rPr>
        <w:t>&lt;</w:t>
      </w:r>
      <w:r w:rsidRPr="00F86A21">
        <w:rPr>
          <w:rStyle w:val="apple-converted-space"/>
          <w:rFonts w:cs="Helvetica"/>
          <w:color w:val="333333"/>
          <w:shd w:val="clear" w:color="auto" w:fill="FFFFFF"/>
        </w:rPr>
        <w:t xml:space="preserve"> 40 minutes for 40 cycles in 384-well plate format).</w:t>
      </w:r>
    </w:p>
    <w:p w:rsidR="00F86A21" w:rsidRPr="00F86A21" w:rsidRDefault="00F86A21" w:rsidP="00F86A21">
      <w:pPr>
        <w:spacing w:before="120" w:after="120"/>
        <w:contextualSpacing/>
        <w:rPr>
          <w:rStyle w:val="apple-converted-space"/>
          <w:rFonts w:cs="Helvetica"/>
          <w:color w:val="333333"/>
          <w:shd w:val="clear" w:color="auto" w:fill="FFFFFF"/>
        </w:rPr>
      </w:pPr>
      <w:r w:rsidRPr="00F86A21">
        <w:rPr>
          <w:rStyle w:val="apple-converted-space"/>
          <w:rFonts w:cs="Helvetica"/>
          <w:color w:val="333333"/>
          <w:shd w:val="clear" w:color="auto" w:fill="FFFFFF"/>
        </w:rPr>
        <w:t>- Obtain rapid and accurate temperature adjustment.</w:t>
      </w:r>
    </w:p>
    <w:p w:rsidR="001C5D85" w:rsidRDefault="00F86A21" w:rsidP="00F86A21">
      <w:pPr>
        <w:spacing w:before="120" w:after="120"/>
        <w:contextualSpacing/>
        <w:rPr>
          <w:rStyle w:val="apple-converted-space"/>
          <w:rFonts w:cs="Helvetica"/>
          <w:color w:val="333333"/>
          <w:shd w:val="clear" w:color="auto" w:fill="FFFFFF"/>
        </w:rPr>
      </w:pPr>
      <w:r w:rsidRPr="00F86A21">
        <w:rPr>
          <w:rStyle w:val="apple-converted-space"/>
          <w:rFonts w:cs="Helvetica"/>
          <w:color w:val="333333"/>
          <w:shd w:val="clear" w:color="auto" w:fill="FFFFFF"/>
        </w:rPr>
        <w:t xml:space="preserve">- Achieve exceptional data homogeneity across the entire </w:t>
      </w:r>
      <w:proofErr w:type="spellStart"/>
      <w:r w:rsidRPr="00F86A21">
        <w:rPr>
          <w:rStyle w:val="apple-converted-space"/>
          <w:rFonts w:cs="Helvetica"/>
          <w:color w:val="333333"/>
          <w:shd w:val="clear" w:color="auto" w:fill="FFFFFF"/>
        </w:rPr>
        <w:t>multiwell</w:t>
      </w:r>
      <w:proofErr w:type="spellEnd"/>
      <w:r w:rsidRPr="00F86A21">
        <w:rPr>
          <w:rStyle w:val="apple-converted-space"/>
          <w:rFonts w:cs="Helvetica"/>
          <w:color w:val="333333"/>
          <w:shd w:val="clear" w:color="auto" w:fill="FFFFFF"/>
        </w:rPr>
        <w:t xml:space="preserve"> plate.</w:t>
      </w:r>
    </w:p>
    <w:p w:rsidR="00425926" w:rsidRPr="007F685A" w:rsidRDefault="00425926" w:rsidP="0009683E">
      <w:pPr>
        <w:spacing w:before="120" w:after="120"/>
        <w:contextualSpacing/>
        <w:rPr>
          <w:rStyle w:val="hps"/>
          <w:rFonts w:cs="Arial"/>
          <w:color w:val="222222"/>
          <w:highlight w:val="yellow"/>
          <w:lang w:val="en-GB"/>
        </w:rPr>
      </w:pPr>
    </w:p>
    <w:p w:rsidR="0009683E" w:rsidRDefault="0009683E" w:rsidP="0009683E">
      <w:pPr>
        <w:spacing w:before="120" w:after="120"/>
        <w:contextualSpacing/>
        <w:rPr>
          <w:rStyle w:val="hps"/>
          <w:rFonts w:cs="Arial"/>
          <w:b/>
          <w:color w:val="222222"/>
          <w:sz w:val="24"/>
          <w:szCs w:val="24"/>
          <w:lang w:val="en-GB"/>
        </w:rPr>
      </w:pPr>
      <w:r w:rsidRPr="00A14F6F">
        <w:rPr>
          <w:rStyle w:val="hps"/>
          <w:rFonts w:cs="Arial"/>
          <w:b/>
          <w:color w:val="222222"/>
          <w:sz w:val="24"/>
          <w:szCs w:val="24"/>
          <w:lang w:val="en-GB"/>
        </w:rPr>
        <w:t>Specifications and</w:t>
      </w:r>
      <w:r w:rsidRPr="00A14F6F">
        <w:rPr>
          <w:rStyle w:val="shorttext"/>
          <w:rFonts w:cs="Arial"/>
          <w:b/>
          <w:color w:val="222222"/>
          <w:sz w:val="24"/>
          <w:szCs w:val="24"/>
          <w:lang w:val="en-GB"/>
        </w:rPr>
        <w:t xml:space="preserve"> </w:t>
      </w:r>
      <w:r w:rsidRPr="00A14F6F">
        <w:rPr>
          <w:rStyle w:val="hps"/>
          <w:rFonts w:cs="Arial"/>
          <w:b/>
          <w:color w:val="222222"/>
          <w:sz w:val="24"/>
          <w:szCs w:val="24"/>
          <w:lang w:val="en-GB"/>
        </w:rPr>
        <w:t>technical features:</w:t>
      </w:r>
    </w:p>
    <w:p w:rsidR="00F86A21" w:rsidRPr="00F86A21" w:rsidRDefault="00F86A21" w:rsidP="00F86A21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F86A21">
        <w:rPr>
          <w:rStyle w:val="hps"/>
          <w:rFonts w:cs="Arial"/>
          <w:color w:val="222222"/>
          <w:lang w:val="en-GB"/>
        </w:rPr>
        <w:t xml:space="preserve">Block cycler unit </w:t>
      </w:r>
      <w:r w:rsidR="00FF7CE6">
        <w:rPr>
          <w:rStyle w:val="hps"/>
          <w:rFonts w:cs="Arial"/>
          <w:color w:val="222222"/>
          <w:lang w:val="en-GB"/>
        </w:rPr>
        <w:tab/>
      </w:r>
      <w:r w:rsidRPr="00F86A21">
        <w:rPr>
          <w:rStyle w:val="hps"/>
          <w:rFonts w:cs="Arial"/>
          <w:color w:val="222222"/>
          <w:lang w:val="en-GB"/>
        </w:rPr>
        <w:t>Easily interchangeable 96-/384-well format</w:t>
      </w:r>
      <w:r>
        <w:rPr>
          <w:rStyle w:val="hps"/>
          <w:rFonts w:cs="Arial"/>
          <w:color w:val="222222"/>
          <w:lang w:val="en-GB"/>
        </w:rPr>
        <w:t xml:space="preserve"> </w:t>
      </w:r>
      <w:r w:rsidRPr="00F86A21">
        <w:rPr>
          <w:rStyle w:val="hps"/>
          <w:rFonts w:cs="Arial"/>
          <w:color w:val="222222"/>
          <w:lang w:val="en-GB"/>
        </w:rPr>
        <w:t>Includes Therma-Base</w:t>
      </w:r>
    </w:p>
    <w:p w:rsidR="00F86A21" w:rsidRPr="00F86A21" w:rsidRDefault="00F86A21" w:rsidP="00F86A21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F86A21">
        <w:rPr>
          <w:rStyle w:val="hps"/>
          <w:rFonts w:cs="Arial"/>
          <w:color w:val="222222"/>
          <w:lang w:val="en-GB"/>
        </w:rPr>
        <w:t>Reaction volumes</w:t>
      </w:r>
      <w:r w:rsidR="00FF7CE6">
        <w:rPr>
          <w:rStyle w:val="hps"/>
          <w:rFonts w:cs="Arial"/>
          <w:color w:val="222222"/>
          <w:lang w:val="en-GB"/>
        </w:rPr>
        <w:tab/>
      </w:r>
      <w:r w:rsidRPr="00F86A21">
        <w:rPr>
          <w:rStyle w:val="hps"/>
          <w:rFonts w:cs="Arial"/>
          <w:color w:val="222222"/>
          <w:lang w:val="en-GB"/>
        </w:rPr>
        <w:t xml:space="preserve">5 </w:t>
      </w:r>
      <w:proofErr w:type="spellStart"/>
      <w:r w:rsidRPr="00F86A21">
        <w:rPr>
          <w:rStyle w:val="hps"/>
          <w:rFonts w:cs="Arial"/>
          <w:color w:val="222222"/>
          <w:lang w:val="en-GB"/>
        </w:rPr>
        <w:t>μl</w:t>
      </w:r>
      <w:proofErr w:type="spellEnd"/>
      <w:r w:rsidRPr="00F86A21">
        <w:rPr>
          <w:rStyle w:val="hps"/>
          <w:rFonts w:cs="Arial"/>
          <w:color w:val="222222"/>
          <w:lang w:val="en-GB"/>
        </w:rPr>
        <w:t xml:space="preserve"> – 20 </w:t>
      </w:r>
      <w:proofErr w:type="spellStart"/>
      <w:r w:rsidRPr="00F86A21">
        <w:rPr>
          <w:rStyle w:val="hps"/>
          <w:rFonts w:cs="Arial"/>
          <w:color w:val="222222"/>
          <w:lang w:val="en-GB"/>
        </w:rPr>
        <w:t>μl</w:t>
      </w:r>
      <w:proofErr w:type="spellEnd"/>
      <w:r w:rsidRPr="00F86A21">
        <w:rPr>
          <w:rStyle w:val="hps"/>
          <w:rFonts w:cs="Arial"/>
          <w:color w:val="222222"/>
          <w:lang w:val="en-GB"/>
        </w:rPr>
        <w:t xml:space="preserve"> (384-well), 10 </w:t>
      </w:r>
      <w:proofErr w:type="spellStart"/>
      <w:r w:rsidRPr="00F86A21">
        <w:rPr>
          <w:rStyle w:val="hps"/>
          <w:rFonts w:cs="Arial"/>
          <w:color w:val="222222"/>
          <w:lang w:val="en-GB"/>
        </w:rPr>
        <w:t>μl</w:t>
      </w:r>
      <w:proofErr w:type="spellEnd"/>
      <w:r w:rsidRPr="00F86A21">
        <w:rPr>
          <w:rStyle w:val="hps"/>
          <w:rFonts w:cs="Arial"/>
          <w:color w:val="222222"/>
          <w:lang w:val="en-GB"/>
        </w:rPr>
        <w:t xml:space="preserve"> – 100 </w:t>
      </w:r>
      <w:proofErr w:type="spellStart"/>
      <w:r w:rsidRPr="00F86A21">
        <w:rPr>
          <w:rStyle w:val="hps"/>
          <w:rFonts w:cs="Arial"/>
          <w:color w:val="222222"/>
          <w:lang w:val="en-GB"/>
        </w:rPr>
        <w:t>μl</w:t>
      </w:r>
      <w:proofErr w:type="spellEnd"/>
      <w:r w:rsidRPr="00F86A21">
        <w:rPr>
          <w:rStyle w:val="hps"/>
          <w:rFonts w:cs="Arial"/>
          <w:color w:val="222222"/>
          <w:lang w:val="en-GB"/>
        </w:rPr>
        <w:t xml:space="preserve"> (96-well)</w:t>
      </w:r>
    </w:p>
    <w:p w:rsidR="00F86A21" w:rsidRPr="00F86A21" w:rsidRDefault="00F86A21" w:rsidP="00F86A21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F86A21">
        <w:rPr>
          <w:rStyle w:val="hps"/>
          <w:rFonts w:cs="Arial"/>
          <w:color w:val="222222"/>
          <w:lang w:val="en-GB"/>
        </w:rPr>
        <w:t>Temperature control</w:t>
      </w:r>
      <w:r w:rsidR="00FF7CE6">
        <w:rPr>
          <w:rStyle w:val="hps"/>
          <w:rFonts w:cs="Arial"/>
          <w:color w:val="222222"/>
          <w:lang w:val="en-GB"/>
        </w:rPr>
        <w:tab/>
      </w:r>
      <w:r w:rsidRPr="00F86A21">
        <w:rPr>
          <w:rStyle w:val="hps"/>
          <w:rFonts w:cs="Arial"/>
          <w:color w:val="222222"/>
          <w:lang w:val="en-GB"/>
        </w:rPr>
        <w:t>Peltier-based heating/cooling from 37°C – 95°C</w:t>
      </w:r>
    </w:p>
    <w:p w:rsidR="00F86A21" w:rsidRPr="00F86A21" w:rsidRDefault="00F86A21" w:rsidP="00FF7CE6">
      <w:pPr>
        <w:spacing w:before="120" w:after="120"/>
        <w:ind w:left="1440" w:firstLine="720"/>
        <w:contextualSpacing/>
        <w:rPr>
          <w:rStyle w:val="hps"/>
          <w:rFonts w:cs="Arial"/>
          <w:color w:val="222222"/>
          <w:lang w:val="en-GB"/>
        </w:rPr>
      </w:pPr>
      <w:r w:rsidRPr="00F86A21">
        <w:rPr>
          <w:rStyle w:val="hps"/>
          <w:rFonts w:cs="Arial"/>
          <w:color w:val="222222"/>
          <w:lang w:val="en-GB"/>
        </w:rPr>
        <w:t>(20°C starting temperature to perform specific melting curve analyses)</w:t>
      </w:r>
    </w:p>
    <w:p w:rsidR="00F86A21" w:rsidRPr="00F86A21" w:rsidRDefault="00F86A21" w:rsidP="00F86A21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F86A21">
        <w:rPr>
          <w:rStyle w:val="hps"/>
          <w:rFonts w:cs="Arial"/>
          <w:color w:val="222222"/>
          <w:lang w:val="en-GB"/>
        </w:rPr>
        <w:t>Heating rate</w:t>
      </w:r>
      <w:r w:rsidR="00FF7CE6">
        <w:rPr>
          <w:rStyle w:val="hps"/>
          <w:rFonts w:cs="Arial"/>
          <w:color w:val="222222"/>
          <w:lang w:val="en-GB"/>
        </w:rPr>
        <w:tab/>
      </w:r>
      <w:r w:rsidR="00FF7CE6">
        <w:rPr>
          <w:rStyle w:val="hps"/>
          <w:rFonts w:cs="Arial"/>
          <w:color w:val="222222"/>
          <w:lang w:val="en-GB"/>
        </w:rPr>
        <w:tab/>
      </w:r>
      <w:r w:rsidRPr="00F86A21">
        <w:rPr>
          <w:rStyle w:val="hps"/>
          <w:rFonts w:cs="Arial"/>
          <w:color w:val="222222"/>
          <w:lang w:val="en-GB"/>
        </w:rPr>
        <w:t>96-well block: 4.4°C</w:t>
      </w:r>
    </w:p>
    <w:p w:rsidR="00F86A21" w:rsidRPr="00F86A21" w:rsidRDefault="00F86A21" w:rsidP="00FF7CE6">
      <w:pPr>
        <w:spacing w:before="120" w:after="120"/>
        <w:ind w:left="1440" w:firstLine="720"/>
        <w:contextualSpacing/>
        <w:rPr>
          <w:rStyle w:val="hps"/>
          <w:rFonts w:cs="Arial"/>
          <w:color w:val="222222"/>
          <w:lang w:val="en-GB"/>
        </w:rPr>
      </w:pPr>
      <w:r w:rsidRPr="00F86A21">
        <w:rPr>
          <w:rStyle w:val="hps"/>
          <w:rFonts w:cs="Arial"/>
          <w:color w:val="222222"/>
          <w:lang w:val="en-GB"/>
        </w:rPr>
        <w:t>384-well block: 4.8°C</w:t>
      </w:r>
    </w:p>
    <w:p w:rsidR="00F86A21" w:rsidRPr="00F86A21" w:rsidRDefault="00F86A21" w:rsidP="00F86A21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F86A21">
        <w:rPr>
          <w:rStyle w:val="hps"/>
          <w:rFonts w:cs="Arial"/>
          <w:color w:val="222222"/>
          <w:lang w:val="en-GB"/>
        </w:rPr>
        <w:t>Cooling rate</w:t>
      </w:r>
      <w:r w:rsidR="00FF7CE6">
        <w:rPr>
          <w:rStyle w:val="hps"/>
          <w:rFonts w:cs="Arial"/>
          <w:color w:val="222222"/>
          <w:lang w:val="en-GB"/>
        </w:rPr>
        <w:tab/>
      </w:r>
      <w:r w:rsidR="00FF7CE6">
        <w:rPr>
          <w:rStyle w:val="hps"/>
          <w:rFonts w:cs="Arial"/>
          <w:color w:val="222222"/>
          <w:lang w:val="en-GB"/>
        </w:rPr>
        <w:tab/>
      </w:r>
      <w:r w:rsidRPr="00F86A21">
        <w:rPr>
          <w:rStyle w:val="hps"/>
          <w:rFonts w:cs="Arial"/>
          <w:color w:val="222222"/>
          <w:lang w:val="en-GB"/>
        </w:rPr>
        <w:t>96-well block: 2.2°C</w:t>
      </w:r>
    </w:p>
    <w:p w:rsidR="00F86A21" w:rsidRPr="00F86A21" w:rsidRDefault="00F86A21" w:rsidP="00FF7CE6">
      <w:pPr>
        <w:spacing w:before="120" w:after="120"/>
        <w:ind w:left="1440" w:firstLine="720"/>
        <w:contextualSpacing/>
        <w:rPr>
          <w:rStyle w:val="hps"/>
          <w:rFonts w:cs="Arial"/>
          <w:color w:val="222222"/>
          <w:lang w:val="en-GB"/>
        </w:rPr>
      </w:pPr>
      <w:r w:rsidRPr="00F86A21">
        <w:rPr>
          <w:rStyle w:val="hps"/>
          <w:rFonts w:cs="Arial"/>
          <w:color w:val="222222"/>
          <w:lang w:val="en-GB"/>
        </w:rPr>
        <w:t>384-well block: 2.5°C</w:t>
      </w:r>
    </w:p>
    <w:p w:rsidR="00F86A21" w:rsidRPr="00F86A21" w:rsidRDefault="00F86A21" w:rsidP="00F86A21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F86A21">
        <w:rPr>
          <w:rStyle w:val="hps"/>
          <w:rFonts w:cs="Arial"/>
          <w:color w:val="222222"/>
          <w:lang w:val="en-GB"/>
        </w:rPr>
        <w:t>Excitation</w:t>
      </w:r>
      <w:r w:rsidR="00FF7CE6">
        <w:rPr>
          <w:rStyle w:val="hps"/>
          <w:rFonts w:cs="Arial"/>
          <w:color w:val="222222"/>
          <w:lang w:val="en-GB"/>
        </w:rPr>
        <w:tab/>
      </w:r>
      <w:r w:rsidR="00FF7CE6">
        <w:rPr>
          <w:rStyle w:val="hps"/>
          <w:rFonts w:cs="Arial"/>
          <w:color w:val="222222"/>
          <w:lang w:val="en-GB"/>
        </w:rPr>
        <w:tab/>
      </w:r>
      <w:r w:rsidRPr="00F86A21">
        <w:rPr>
          <w:rStyle w:val="hps"/>
          <w:rFonts w:cs="Arial"/>
          <w:color w:val="222222"/>
          <w:lang w:val="en-GB"/>
        </w:rPr>
        <w:t>Broad-spectrum, high-intensity LED (390 – 710 nm)</w:t>
      </w:r>
    </w:p>
    <w:p w:rsidR="00FF7CE6" w:rsidRDefault="00F86A21" w:rsidP="00F86A21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F86A21">
        <w:rPr>
          <w:rStyle w:val="hps"/>
          <w:rFonts w:cs="Arial"/>
          <w:color w:val="222222"/>
          <w:lang w:val="en-GB"/>
        </w:rPr>
        <w:lastRenderedPageBreak/>
        <w:t>Detection</w:t>
      </w:r>
      <w:r w:rsidR="00FF7CE6">
        <w:rPr>
          <w:rStyle w:val="hps"/>
          <w:rFonts w:cs="Arial"/>
          <w:color w:val="222222"/>
          <w:lang w:val="en-GB"/>
        </w:rPr>
        <w:tab/>
      </w:r>
      <w:r w:rsidR="00FF7CE6">
        <w:rPr>
          <w:rStyle w:val="hps"/>
          <w:rFonts w:cs="Arial"/>
          <w:color w:val="222222"/>
          <w:lang w:val="en-GB"/>
        </w:rPr>
        <w:tab/>
      </w:r>
      <w:r w:rsidRPr="00F86A21">
        <w:rPr>
          <w:rStyle w:val="hps"/>
          <w:rFonts w:cs="Arial"/>
          <w:color w:val="222222"/>
          <w:lang w:val="en-GB"/>
        </w:rPr>
        <w:t>Simultaneous, scan-free detection of signals from all wells</w:t>
      </w:r>
    </w:p>
    <w:p w:rsidR="00F86A21" w:rsidRPr="00F86A21" w:rsidRDefault="00F86A21" w:rsidP="00FF7CE6">
      <w:pPr>
        <w:spacing w:before="120" w:after="120"/>
        <w:ind w:left="1440" w:firstLine="720"/>
        <w:contextualSpacing/>
        <w:rPr>
          <w:rStyle w:val="hps"/>
          <w:rFonts w:cs="Arial"/>
          <w:color w:val="222222"/>
          <w:lang w:val="en-GB"/>
        </w:rPr>
      </w:pPr>
      <w:r w:rsidRPr="00F86A21">
        <w:rPr>
          <w:rStyle w:val="hps"/>
          <w:rFonts w:cs="Arial"/>
          <w:color w:val="222222"/>
          <w:lang w:val="en-GB"/>
        </w:rPr>
        <w:t>with telecentric optic</w:t>
      </w:r>
      <w:r w:rsidR="00FF7CE6">
        <w:rPr>
          <w:rStyle w:val="hps"/>
          <w:rFonts w:cs="Arial"/>
          <w:color w:val="222222"/>
          <w:lang w:val="en-GB"/>
        </w:rPr>
        <w:t xml:space="preserve"> </w:t>
      </w:r>
      <w:r w:rsidRPr="00F86A21">
        <w:rPr>
          <w:rStyle w:val="hps"/>
          <w:rFonts w:cs="Arial"/>
          <w:color w:val="222222"/>
          <w:lang w:val="en-GB"/>
        </w:rPr>
        <w:t>and monochrome CCD camera</w:t>
      </w:r>
    </w:p>
    <w:p w:rsidR="00F86A21" w:rsidRPr="00F86A21" w:rsidRDefault="00F86A21" w:rsidP="00F86A21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F86A21">
        <w:rPr>
          <w:rStyle w:val="hps"/>
          <w:rFonts w:cs="Arial"/>
          <w:color w:val="222222"/>
          <w:lang w:val="en-GB"/>
        </w:rPr>
        <w:t>Filters</w:t>
      </w:r>
      <w:r w:rsidR="00FF7CE6">
        <w:rPr>
          <w:rStyle w:val="hps"/>
          <w:rFonts w:cs="Arial"/>
          <w:color w:val="222222"/>
          <w:lang w:val="en-GB"/>
        </w:rPr>
        <w:tab/>
      </w:r>
      <w:r w:rsidR="00FF7CE6">
        <w:rPr>
          <w:rStyle w:val="hps"/>
          <w:rFonts w:cs="Arial"/>
          <w:color w:val="222222"/>
          <w:lang w:val="en-GB"/>
        </w:rPr>
        <w:tab/>
      </w:r>
      <w:r w:rsidR="00FF7CE6">
        <w:rPr>
          <w:rStyle w:val="hps"/>
          <w:rFonts w:cs="Arial"/>
          <w:color w:val="222222"/>
          <w:lang w:val="en-GB"/>
        </w:rPr>
        <w:tab/>
      </w:r>
      <w:r w:rsidRPr="00F86A21">
        <w:rPr>
          <w:rStyle w:val="hps"/>
          <w:rFonts w:cs="Arial"/>
          <w:color w:val="222222"/>
          <w:lang w:val="en-GB"/>
        </w:rPr>
        <w:t>Excitation (nm): 440, 465, 498, 533, 618</w:t>
      </w:r>
    </w:p>
    <w:p w:rsidR="00F86A21" w:rsidRPr="00F86A21" w:rsidRDefault="00F86A21" w:rsidP="00FF7CE6">
      <w:pPr>
        <w:spacing w:before="120" w:after="120"/>
        <w:ind w:left="1440" w:firstLine="720"/>
        <w:contextualSpacing/>
        <w:rPr>
          <w:rStyle w:val="hps"/>
          <w:rFonts w:cs="Arial"/>
          <w:color w:val="222222"/>
          <w:lang w:val="en-GB"/>
        </w:rPr>
      </w:pPr>
      <w:r w:rsidRPr="00F86A21">
        <w:rPr>
          <w:rStyle w:val="hps"/>
          <w:rFonts w:cs="Arial"/>
          <w:color w:val="222222"/>
          <w:lang w:val="en-GB"/>
        </w:rPr>
        <w:t>Detection (nm): 488, 510, 580, 610, 640, 660</w:t>
      </w:r>
    </w:p>
    <w:p w:rsidR="00F86A21" w:rsidRPr="00F86A21" w:rsidRDefault="00F86A21" w:rsidP="00F86A21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F86A21">
        <w:rPr>
          <w:rStyle w:val="hps"/>
          <w:rFonts w:cs="Arial"/>
          <w:color w:val="222222"/>
          <w:lang w:val="en-GB"/>
        </w:rPr>
        <w:t>Computer</w:t>
      </w:r>
      <w:r w:rsidR="00FF7CE6">
        <w:rPr>
          <w:rStyle w:val="hps"/>
          <w:rFonts w:cs="Arial"/>
          <w:color w:val="222222"/>
          <w:lang w:val="en-GB"/>
        </w:rPr>
        <w:tab/>
      </w:r>
      <w:r w:rsidR="00FF7CE6">
        <w:rPr>
          <w:rStyle w:val="hps"/>
          <w:rFonts w:cs="Arial"/>
          <w:color w:val="222222"/>
          <w:lang w:val="en-GB"/>
        </w:rPr>
        <w:tab/>
      </w:r>
      <w:r w:rsidRPr="00F86A21">
        <w:rPr>
          <w:rStyle w:val="hps"/>
          <w:rFonts w:cs="Arial"/>
          <w:color w:val="222222"/>
          <w:lang w:val="en-GB"/>
        </w:rPr>
        <w:t>Pentium PC with Windows 7</w:t>
      </w:r>
    </w:p>
    <w:p w:rsidR="00F86A21" w:rsidRPr="00F86A21" w:rsidRDefault="00F86A21" w:rsidP="00F86A21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F86A21">
        <w:rPr>
          <w:rStyle w:val="hps"/>
          <w:rFonts w:cs="Arial"/>
          <w:color w:val="222222"/>
          <w:lang w:val="en-GB"/>
        </w:rPr>
        <w:t>Preinstalled software</w:t>
      </w:r>
      <w:r w:rsidR="00FF7CE6">
        <w:rPr>
          <w:rStyle w:val="hps"/>
          <w:rFonts w:cs="Arial"/>
          <w:color w:val="222222"/>
          <w:lang w:val="en-GB"/>
        </w:rPr>
        <w:tab/>
      </w:r>
      <w:r w:rsidRPr="00F86A21">
        <w:rPr>
          <w:rStyle w:val="hps"/>
          <w:rFonts w:cs="Arial"/>
          <w:color w:val="222222"/>
          <w:lang w:val="en-GB"/>
        </w:rPr>
        <w:t>• Tm Calling</w:t>
      </w:r>
    </w:p>
    <w:p w:rsidR="00F86A21" w:rsidRPr="00F86A21" w:rsidRDefault="00F86A21" w:rsidP="00FF7CE6">
      <w:pPr>
        <w:spacing w:before="120" w:after="120"/>
        <w:ind w:left="1440" w:firstLine="720"/>
        <w:contextualSpacing/>
        <w:rPr>
          <w:rStyle w:val="hps"/>
          <w:rFonts w:cs="Arial"/>
          <w:color w:val="222222"/>
          <w:lang w:val="en-GB"/>
        </w:rPr>
      </w:pPr>
      <w:r w:rsidRPr="00F86A21">
        <w:rPr>
          <w:rStyle w:val="hps"/>
          <w:rFonts w:cs="Arial"/>
          <w:color w:val="222222"/>
          <w:lang w:val="en-GB"/>
        </w:rPr>
        <w:t>• Absolute Quantification Analysis</w:t>
      </w:r>
    </w:p>
    <w:p w:rsidR="00F86A21" w:rsidRPr="00F86A21" w:rsidRDefault="00F86A21" w:rsidP="00FF7CE6">
      <w:pPr>
        <w:spacing w:before="120" w:after="120"/>
        <w:ind w:left="1440" w:firstLine="720"/>
        <w:contextualSpacing/>
        <w:rPr>
          <w:rStyle w:val="hps"/>
          <w:rFonts w:cs="Arial"/>
          <w:color w:val="222222"/>
          <w:lang w:val="en-GB"/>
        </w:rPr>
      </w:pPr>
      <w:r w:rsidRPr="00F86A21">
        <w:rPr>
          <w:rStyle w:val="hps"/>
          <w:rFonts w:cs="Arial"/>
          <w:color w:val="222222"/>
          <w:lang w:val="en-GB"/>
        </w:rPr>
        <w:t>• Relative Quantification Analysis</w:t>
      </w:r>
    </w:p>
    <w:p w:rsidR="00F86A21" w:rsidRPr="00F86A21" w:rsidRDefault="00F86A21" w:rsidP="00FF7CE6">
      <w:pPr>
        <w:spacing w:before="120" w:after="120"/>
        <w:ind w:left="1440" w:firstLine="720"/>
        <w:contextualSpacing/>
        <w:rPr>
          <w:rStyle w:val="hps"/>
          <w:rFonts w:cs="Arial"/>
          <w:color w:val="222222"/>
          <w:lang w:val="en-GB"/>
        </w:rPr>
      </w:pPr>
      <w:r w:rsidRPr="00F86A21">
        <w:rPr>
          <w:rStyle w:val="hps"/>
          <w:rFonts w:cs="Arial"/>
          <w:color w:val="222222"/>
          <w:lang w:val="en-GB"/>
        </w:rPr>
        <w:t>• Endpoint Genotyping</w:t>
      </w:r>
    </w:p>
    <w:p w:rsidR="00F86A21" w:rsidRPr="00F86A21" w:rsidRDefault="00F86A21" w:rsidP="00FF7CE6">
      <w:pPr>
        <w:spacing w:before="120" w:after="120"/>
        <w:ind w:left="1440" w:firstLine="720"/>
        <w:contextualSpacing/>
        <w:rPr>
          <w:rStyle w:val="hps"/>
          <w:rFonts w:cs="Arial"/>
          <w:color w:val="222222"/>
          <w:lang w:val="en-GB"/>
        </w:rPr>
      </w:pPr>
      <w:r w:rsidRPr="00F86A21">
        <w:rPr>
          <w:rStyle w:val="hps"/>
          <w:rFonts w:cs="Arial"/>
          <w:color w:val="222222"/>
          <w:lang w:val="en-GB"/>
        </w:rPr>
        <w:t>• Melting Curve Genotyping</w:t>
      </w:r>
    </w:p>
    <w:p w:rsidR="00F86A21" w:rsidRPr="00F86A21" w:rsidRDefault="00F86A21" w:rsidP="00F86A21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F86A21">
        <w:rPr>
          <w:rStyle w:val="hps"/>
          <w:rFonts w:cs="Arial"/>
          <w:color w:val="222222"/>
          <w:lang w:val="en-GB"/>
        </w:rPr>
        <w:t>Accessory software</w:t>
      </w:r>
      <w:r w:rsidR="00FF7CE6">
        <w:rPr>
          <w:rStyle w:val="hps"/>
          <w:rFonts w:cs="Arial"/>
          <w:color w:val="222222"/>
          <w:lang w:val="en-GB"/>
        </w:rPr>
        <w:tab/>
      </w:r>
      <w:r w:rsidRPr="00F86A21">
        <w:rPr>
          <w:rStyle w:val="hps"/>
          <w:rFonts w:cs="Arial"/>
          <w:color w:val="222222"/>
          <w:lang w:val="en-GB"/>
        </w:rPr>
        <w:t>• Gene Scanning Module for HRM Analysis</w:t>
      </w:r>
    </w:p>
    <w:p w:rsidR="00F86A21" w:rsidRPr="00F86A21" w:rsidRDefault="00F86A21" w:rsidP="00F86A21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F86A21">
        <w:rPr>
          <w:rStyle w:val="hps"/>
          <w:rFonts w:cs="Arial"/>
          <w:color w:val="222222"/>
          <w:lang w:val="en-GB"/>
        </w:rPr>
        <w:t>Automation</w:t>
      </w:r>
      <w:r w:rsidR="00FF7CE6">
        <w:rPr>
          <w:rStyle w:val="hps"/>
          <w:rFonts w:cs="Arial"/>
          <w:color w:val="222222"/>
          <w:lang w:val="en-GB"/>
        </w:rPr>
        <w:tab/>
      </w:r>
      <w:r w:rsidR="00FF7CE6">
        <w:rPr>
          <w:rStyle w:val="hps"/>
          <w:rFonts w:cs="Arial"/>
          <w:color w:val="222222"/>
          <w:lang w:val="en-GB"/>
        </w:rPr>
        <w:tab/>
      </w:r>
      <w:r w:rsidRPr="00F86A21">
        <w:rPr>
          <w:rStyle w:val="hps"/>
          <w:rFonts w:cs="Arial"/>
          <w:color w:val="222222"/>
          <w:lang w:val="en-GB"/>
        </w:rPr>
        <w:t xml:space="preserve">• Interface with </w:t>
      </w:r>
      <w:proofErr w:type="spellStart"/>
      <w:r w:rsidRPr="00F86A21">
        <w:rPr>
          <w:rStyle w:val="hps"/>
          <w:rFonts w:cs="Arial"/>
          <w:color w:val="222222"/>
          <w:lang w:val="en-GB"/>
        </w:rPr>
        <w:t>LightCycler</w:t>
      </w:r>
      <w:proofErr w:type="spellEnd"/>
      <w:r w:rsidRPr="00F86A21">
        <w:rPr>
          <w:rStyle w:val="hps"/>
          <w:rFonts w:cs="Arial"/>
          <w:color w:val="222222"/>
          <w:lang w:val="en-GB"/>
        </w:rPr>
        <w:t>® 480 LIMS Interface Module</w:t>
      </w:r>
    </w:p>
    <w:p w:rsidR="00F86A21" w:rsidRPr="00F86A21" w:rsidRDefault="00F86A21" w:rsidP="00FF7CE6">
      <w:pPr>
        <w:spacing w:before="120" w:after="120"/>
        <w:ind w:left="1440" w:firstLine="720"/>
        <w:contextualSpacing/>
        <w:rPr>
          <w:rStyle w:val="hps"/>
          <w:rFonts w:cs="Arial"/>
          <w:color w:val="222222"/>
          <w:lang w:val="en-GB"/>
        </w:rPr>
      </w:pPr>
      <w:r w:rsidRPr="00F86A21">
        <w:rPr>
          <w:rStyle w:val="hps"/>
          <w:rFonts w:cs="Arial"/>
          <w:color w:val="222222"/>
          <w:lang w:val="en-GB"/>
        </w:rPr>
        <w:t xml:space="preserve">• Barcode assisted </w:t>
      </w:r>
      <w:proofErr w:type="spellStart"/>
      <w:r w:rsidRPr="00F86A21">
        <w:rPr>
          <w:rStyle w:val="hps"/>
          <w:rFonts w:cs="Arial"/>
          <w:color w:val="222222"/>
          <w:lang w:val="en-GB"/>
        </w:rPr>
        <w:t>multiwell</w:t>
      </w:r>
      <w:proofErr w:type="spellEnd"/>
      <w:r w:rsidRPr="00F86A21">
        <w:rPr>
          <w:rStyle w:val="hps"/>
          <w:rFonts w:cs="Arial"/>
          <w:color w:val="222222"/>
          <w:lang w:val="en-GB"/>
        </w:rPr>
        <w:t xml:space="preserve"> plate scanning</w:t>
      </w:r>
    </w:p>
    <w:p w:rsidR="00F86A21" w:rsidRPr="00F86A21" w:rsidRDefault="00F86A21" w:rsidP="00FF7CE6">
      <w:pPr>
        <w:spacing w:before="120" w:after="120"/>
        <w:ind w:left="1440" w:firstLine="720"/>
        <w:contextualSpacing/>
        <w:rPr>
          <w:rStyle w:val="hps"/>
          <w:rFonts w:cs="Arial"/>
          <w:color w:val="222222"/>
          <w:lang w:val="en-GB"/>
        </w:rPr>
      </w:pPr>
      <w:r w:rsidRPr="00F86A21">
        <w:rPr>
          <w:rStyle w:val="hps"/>
          <w:rFonts w:cs="Arial"/>
          <w:color w:val="222222"/>
          <w:lang w:val="en-GB"/>
        </w:rPr>
        <w:t>• Plate loading capability</w:t>
      </w:r>
    </w:p>
    <w:p w:rsidR="00F86A21" w:rsidRPr="00F86A21" w:rsidRDefault="00F86A21" w:rsidP="00F86A21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F86A21">
        <w:rPr>
          <w:rStyle w:val="hps"/>
          <w:rFonts w:cs="Arial"/>
          <w:color w:val="222222"/>
          <w:lang w:val="en-GB"/>
        </w:rPr>
        <w:t>Data management</w:t>
      </w:r>
      <w:r w:rsidR="00FF7CE6">
        <w:rPr>
          <w:rStyle w:val="hps"/>
          <w:rFonts w:cs="Arial"/>
          <w:color w:val="222222"/>
          <w:lang w:val="en-GB"/>
        </w:rPr>
        <w:tab/>
      </w:r>
      <w:r w:rsidRPr="00F86A21">
        <w:rPr>
          <w:rStyle w:val="hps"/>
          <w:rFonts w:cs="Arial"/>
          <w:color w:val="222222"/>
          <w:lang w:val="en-GB"/>
        </w:rPr>
        <w:t>21 CFR Part 11 compatibility</w:t>
      </w:r>
    </w:p>
    <w:p w:rsidR="00F86A21" w:rsidRDefault="00F86A21" w:rsidP="00F86A21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F86A21">
        <w:rPr>
          <w:rStyle w:val="hps"/>
          <w:rFonts w:cs="Arial"/>
          <w:color w:val="222222"/>
          <w:lang w:val="en-GB"/>
        </w:rPr>
        <w:t>Maintenance and ROX calibration not required</w:t>
      </w:r>
    </w:p>
    <w:p w:rsidR="00FF7CE6" w:rsidRPr="00F86A21" w:rsidRDefault="00FF7CE6" w:rsidP="00F86A21">
      <w:pPr>
        <w:spacing w:before="120" w:after="120"/>
        <w:contextualSpacing/>
        <w:rPr>
          <w:rStyle w:val="hps"/>
          <w:rFonts w:cs="Arial"/>
          <w:color w:val="222222"/>
          <w:highlight w:val="yellow"/>
          <w:lang w:val="en-GB"/>
        </w:rPr>
      </w:pPr>
    </w:p>
    <w:p w:rsidR="003D0376" w:rsidRPr="00B756FA" w:rsidRDefault="00FF7CE6" w:rsidP="003D0376">
      <w:pPr>
        <w:spacing w:after="0"/>
      </w:pPr>
      <w:r w:rsidRPr="00FF7CE6">
        <w:rPr>
          <w:b/>
        </w:rPr>
        <w:t>Applications:</w:t>
      </w:r>
      <w:r>
        <w:tab/>
      </w:r>
      <w:r w:rsidR="003D0376" w:rsidRPr="00B756FA">
        <w:t xml:space="preserve">Gene Expression </w:t>
      </w:r>
      <w:r w:rsidR="00F86A21" w:rsidRPr="00B70C42">
        <w:rPr>
          <w:rFonts w:cs="Helvetica"/>
          <w:color w:val="333333"/>
          <w:shd w:val="clear" w:color="auto" w:fill="FFFFFF"/>
        </w:rPr>
        <w:t>analysis</w:t>
      </w:r>
    </w:p>
    <w:p w:rsidR="003D0376" w:rsidRPr="00B756FA" w:rsidRDefault="003D0376" w:rsidP="00A14F6F">
      <w:pPr>
        <w:spacing w:after="0"/>
        <w:ind w:left="720" w:firstLine="720"/>
      </w:pPr>
      <w:r w:rsidRPr="00B756FA">
        <w:t xml:space="preserve">SNP Genotyping </w:t>
      </w:r>
    </w:p>
    <w:p w:rsidR="003D0376" w:rsidRPr="00B756FA" w:rsidRDefault="00F86A21" w:rsidP="00A14F6F">
      <w:pPr>
        <w:spacing w:after="0"/>
        <w:ind w:left="720" w:firstLine="720"/>
      </w:pPr>
      <w:r>
        <w:rPr>
          <w:rFonts w:cs="Helvetica"/>
          <w:color w:val="333333"/>
          <w:shd w:val="clear" w:color="auto" w:fill="FFFFFF"/>
        </w:rPr>
        <w:t>M</w:t>
      </w:r>
      <w:r w:rsidRPr="00B70C42">
        <w:rPr>
          <w:rFonts w:cs="Helvetica"/>
          <w:color w:val="333333"/>
          <w:shd w:val="clear" w:color="auto" w:fill="FFFFFF"/>
        </w:rPr>
        <w:t>utation scanning via high resolution melting (HRM)</w:t>
      </w:r>
    </w:p>
    <w:p w:rsidR="0023225A" w:rsidRPr="00D20F23" w:rsidRDefault="0023225A" w:rsidP="0023225A">
      <w:pPr>
        <w:rPr>
          <w:rFonts w:ascii="Helvetica" w:hAnsi="Helvetica" w:cs="Helvetica"/>
          <w:b/>
          <w:sz w:val="20"/>
          <w:szCs w:val="20"/>
          <w:shd w:val="clear" w:color="auto" w:fill="F3F3F3"/>
        </w:rPr>
      </w:pPr>
    </w:p>
    <w:p w:rsidR="00A674ED" w:rsidRPr="00F115D5" w:rsidRDefault="00A674ED" w:rsidP="00F115D5">
      <w:pPr>
        <w:spacing w:after="0"/>
      </w:pPr>
      <w:r w:rsidRPr="00C46181">
        <w:rPr>
          <w:b/>
          <w:sz w:val="32"/>
          <w:szCs w:val="32"/>
        </w:rPr>
        <w:t>Specification of expertise rele</w:t>
      </w:r>
      <w:r w:rsidR="00596A17">
        <w:rPr>
          <w:b/>
          <w:sz w:val="32"/>
          <w:szCs w:val="32"/>
        </w:rPr>
        <w:t xml:space="preserve">vant to </w:t>
      </w:r>
      <w:proofErr w:type="spellStart"/>
      <w:r w:rsidR="00596A17">
        <w:rPr>
          <w:b/>
          <w:sz w:val="32"/>
          <w:szCs w:val="32"/>
        </w:rPr>
        <w:t>NanoEnviCz</w:t>
      </w:r>
      <w:proofErr w:type="spellEnd"/>
      <w:r w:rsidR="00596A17">
        <w:rPr>
          <w:b/>
          <w:sz w:val="32"/>
          <w:szCs w:val="32"/>
        </w:rPr>
        <w:t xml:space="preserve"> </w:t>
      </w:r>
      <w:proofErr w:type="spellStart"/>
      <w:r w:rsidR="00596A17">
        <w:rPr>
          <w:b/>
          <w:sz w:val="32"/>
          <w:szCs w:val="32"/>
        </w:rPr>
        <w:t>workpackage</w:t>
      </w:r>
      <w:proofErr w:type="spellEnd"/>
    </w:p>
    <w:p w:rsidR="00596A17" w:rsidRPr="00596A17" w:rsidRDefault="00596A17" w:rsidP="00A674ED">
      <w:pPr>
        <w:spacing w:after="100" w:afterAutospacing="1"/>
        <w:rPr>
          <w:b/>
        </w:rPr>
      </w:pPr>
      <w:r w:rsidRPr="00D80AB8">
        <w:rPr>
          <w:rFonts w:cs="Arial"/>
          <w:b/>
          <w:lang w:val="en-GB"/>
        </w:rPr>
        <w:t>WP3</w:t>
      </w:r>
      <w:proofErr w:type="gramStart"/>
      <w:r w:rsidRPr="00D80AB8">
        <w:rPr>
          <w:rFonts w:cs="Arial"/>
          <w:lang w:val="en-GB"/>
        </w:rPr>
        <w:t>a,d</w:t>
      </w:r>
      <w:proofErr w:type="gramEnd"/>
      <w:r w:rsidRPr="00D80AB8">
        <w:rPr>
          <w:rFonts w:cs="Arial"/>
          <w:lang w:val="en-GB"/>
        </w:rPr>
        <w:t xml:space="preserve">,f,g,h, </w:t>
      </w:r>
      <w:r w:rsidRPr="00D80AB8">
        <w:rPr>
          <w:rFonts w:cs="Arial"/>
          <w:b/>
          <w:lang w:val="en-GB"/>
        </w:rPr>
        <w:t>WP4</w:t>
      </w:r>
      <w:r w:rsidRPr="00D80AB8">
        <w:rPr>
          <w:rFonts w:cs="Arial"/>
          <w:lang w:val="en-GB"/>
        </w:rPr>
        <w:t xml:space="preserve">a,b, </w:t>
      </w:r>
      <w:r w:rsidRPr="00D80AB8">
        <w:rPr>
          <w:rFonts w:cs="Arial"/>
          <w:b/>
          <w:lang w:val="en-GB"/>
        </w:rPr>
        <w:t>WP6</w:t>
      </w:r>
      <w:r w:rsidRPr="00D80AB8">
        <w:rPr>
          <w:rFonts w:cs="Arial"/>
          <w:lang w:val="en-GB"/>
        </w:rPr>
        <w:t xml:space="preserve">a,d, </w:t>
      </w:r>
      <w:r w:rsidRPr="00D80AB8">
        <w:rPr>
          <w:rFonts w:cs="Arial"/>
          <w:b/>
          <w:lang w:val="en-GB"/>
        </w:rPr>
        <w:t>WP7</w:t>
      </w:r>
      <w:r w:rsidRPr="00D80AB8">
        <w:rPr>
          <w:rFonts w:cs="Arial"/>
          <w:lang w:val="en-GB"/>
        </w:rPr>
        <w:t xml:space="preserve">a,c,e,h,i, </w:t>
      </w:r>
      <w:r w:rsidRPr="00D80AB8">
        <w:rPr>
          <w:rFonts w:cs="Arial"/>
          <w:b/>
          <w:lang w:val="en-GB"/>
        </w:rPr>
        <w:t>WP9</w:t>
      </w:r>
      <w:r w:rsidRPr="00D80AB8">
        <w:rPr>
          <w:rFonts w:cs="Arial"/>
          <w:lang w:val="en-GB"/>
        </w:rPr>
        <w:t>a,b,c,d</w:t>
      </w:r>
    </w:p>
    <w:p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Detailed description of expertise</w:t>
      </w:r>
      <w:r w:rsidR="009124E8" w:rsidRPr="005A1001">
        <w:rPr>
          <w:b/>
          <w:sz w:val="32"/>
          <w:szCs w:val="32"/>
        </w:rPr>
        <w:t xml:space="preserve"> </w:t>
      </w:r>
    </w:p>
    <w:p w:rsidR="00625EAE" w:rsidRDefault="00625EAE" w:rsidP="00A66F2F">
      <w:r w:rsidRPr="008E32CC">
        <w:rPr>
          <w:b/>
        </w:rPr>
        <w:t>Please, specify</w:t>
      </w:r>
      <w:r w:rsidR="002A071C">
        <w:rPr>
          <w:b/>
        </w:rPr>
        <w:t xml:space="preserve"> the</w:t>
      </w:r>
      <w:r w:rsidRPr="008E32CC">
        <w:rPr>
          <w:b/>
        </w:rPr>
        <w:t xml:space="preserve"> main research topics</w:t>
      </w:r>
      <w:r w:rsidR="00B5358E">
        <w:rPr>
          <w:b/>
        </w:rPr>
        <w:t xml:space="preserve"> connected with equipment</w:t>
      </w:r>
      <w:r w:rsidRPr="0069705D">
        <w:t>:</w:t>
      </w:r>
    </w:p>
    <w:p w:rsidR="000227DC" w:rsidRPr="00C22ED4" w:rsidRDefault="00EF37A4" w:rsidP="0009683E">
      <w:pPr>
        <w:spacing w:after="0" w:line="240" w:lineRule="auto"/>
        <w:rPr>
          <w:rFonts w:cs="Helvetica"/>
          <w:color w:val="333333"/>
          <w:shd w:val="clear" w:color="auto" w:fill="FFFFFF"/>
        </w:rPr>
      </w:pPr>
      <w:r w:rsidRPr="00EF37A4">
        <w:rPr>
          <w:rFonts w:cs="Helvetica"/>
          <w:color w:val="333333"/>
          <w:shd w:val="clear" w:color="auto" w:fill="FFFFFF"/>
        </w:rPr>
        <w:t xml:space="preserve">The </w:t>
      </w:r>
      <w:proofErr w:type="spellStart"/>
      <w:r w:rsidRPr="00EF37A4">
        <w:rPr>
          <w:rFonts w:cs="Helvetica"/>
          <w:color w:val="333333"/>
          <w:shd w:val="clear" w:color="auto" w:fill="FFFFFF"/>
        </w:rPr>
        <w:t>LightCycler</w:t>
      </w:r>
      <w:proofErr w:type="spellEnd"/>
      <w:r w:rsidRPr="00EF37A4">
        <w:rPr>
          <w:rFonts w:cs="Helvetica"/>
          <w:color w:val="333333"/>
          <w:shd w:val="clear" w:color="auto" w:fill="FFFFFF"/>
        </w:rPr>
        <w:t>® 480 Real-Time PCR System</w:t>
      </w:r>
      <w:r>
        <w:rPr>
          <w:rFonts w:cs="Helvetica"/>
          <w:color w:val="333333"/>
          <w:shd w:val="clear" w:color="auto" w:fill="FFFFFF"/>
        </w:rPr>
        <w:t xml:space="preserve"> </w:t>
      </w:r>
      <w:r w:rsidR="00926D36" w:rsidRPr="00C22ED4">
        <w:rPr>
          <w:rFonts w:cs="Helvetica"/>
          <w:color w:val="333333"/>
          <w:shd w:val="clear" w:color="auto" w:fill="FFFFFF"/>
        </w:rPr>
        <w:t xml:space="preserve">is </w:t>
      </w:r>
      <w:r w:rsidR="00B756FA" w:rsidRPr="00C22ED4">
        <w:rPr>
          <w:rFonts w:cs="Helvetica"/>
          <w:color w:val="333333"/>
          <w:shd w:val="clear" w:color="auto" w:fill="FFFFFF"/>
        </w:rPr>
        <w:t>an instrument</w:t>
      </w:r>
      <w:r w:rsidR="00926D36" w:rsidRPr="00C22ED4">
        <w:rPr>
          <w:rFonts w:cs="Helvetica"/>
          <w:color w:val="333333"/>
          <w:shd w:val="clear" w:color="auto" w:fill="FFFFFF"/>
        </w:rPr>
        <w:t xml:space="preserve"> </w:t>
      </w:r>
      <w:r w:rsidR="00B80FA2">
        <w:rPr>
          <w:rFonts w:cs="Helvetica"/>
          <w:color w:val="333333"/>
          <w:shd w:val="clear" w:color="auto" w:fill="FFFFFF"/>
        </w:rPr>
        <w:t>primarily used in nanotoxicology. It</w:t>
      </w:r>
      <w:r w:rsidR="00926D36" w:rsidRPr="00C22ED4">
        <w:rPr>
          <w:rFonts w:cs="Helvetica"/>
          <w:color w:val="333333"/>
          <w:shd w:val="clear" w:color="auto" w:fill="FFFFFF"/>
        </w:rPr>
        <w:t xml:space="preserve"> al</w:t>
      </w:r>
      <w:r w:rsidR="00B756FA" w:rsidRPr="00C22ED4">
        <w:rPr>
          <w:rFonts w:cs="Helvetica"/>
          <w:color w:val="333333"/>
          <w:shd w:val="clear" w:color="auto" w:fill="FFFFFF"/>
        </w:rPr>
        <w:t>l</w:t>
      </w:r>
      <w:r w:rsidR="00926D36" w:rsidRPr="00C22ED4">
        <w:rPr>
          <w:rFonts w:cs="Helvetica"/>
          <w:color w:val="333333"/>
          <w:shd w:val="clear" w:color="auto" w:fill="FFFFFF"/>
        </w:rPr>
        <w:t>ow</w:t>
      </w:r>
      <w:r w:rsidR="00B756FA" w:rsidRPr="00C22ED4">
        <w:rPr>
          <w:rFonts w:cs="Helvetica"/>
          <w:color w:val="333333"/>
          <w:shd w:val="clear" w:color="auto" w:fill="FFFFFF"/>
        </w:rPr>
        <w:t>s</w:t>
      </w:r>
      <w:r w:rsidR="000227DC" w:rsidRPr="00C22ED4">
        <w:rPr>
          <w:rFonts w:cs="Helvetica"/>
          <w:color w:val="333333"/>
          <w:shd w:val="clear" w:color="auto" w:fill="FFFFFF"/>
        </w:rPr>
        <w:t xml:space="preserve"> the analysis of genotoxicity of nanomaterials by measuring the changes in gene expression levels.</w:t>
      </w:r>
    </w:p>
    <w:p w:rsidR="000227DC" w:rsidRDefault="000227DC" w:rsidP="0009683E">
      <w:pPr>
        <w:spacing w:after="0" w:line="240" w:lineRule="auto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625EAE" w:rsidRPr="0069705D" w:rsidRDefault="00625EAE" w:rsidP="00A66F2F">
      <w:r w:rsidRPr="008E32CC">
        <w:rPr>
          <w:b/>
        </w:rPr>
        <w:t xml:space="preserve">Please, specify </w:t>
      </w:r>
      <w:r w:rsidR="002A071C">
        <w:rPr>
          <w:b/>
        </w:rPr>
        <w:t xml:space="preserve">the </w:t>
      </w:r>
      <w:r w:rsidRPr="008E32CC">
        <w:rPr>
          <w:b/>
        </w:rPr>
        <w:t>secondary research topics</w:t>
      </w:r>
      <w:r w:rsidR="00B5358E" w:rsidRPr="00B5358E">
        <w:rPr>
          <w:b/>
        </w:rPr>
        <w:t xml:space="preserve"> </w:t>
      </w:r>
      <w:r w:rsidR="00B5358E">
        <w:rPr>
          <w:b/>
        </w:rPr>
        <w:t>connected with equipment</w:t>
      </w:r>
      <w:r w:rsidRPr="0069705D">
        <w:t xml:space="preserve">: </w:t>
      </w:r>
    </w:p>
    <w:p w:rsidR="00B80FA2" w:rsidRPr="00C22ED4" w:rsidRDefault="00C22ED4" w:rsidP="00A66F2F">
      <w:r w:rsidRPr="00C22ED4">
        <w:t xml:space="preserve">The system may be used in </w:t>
      </w:r>
      <w:r w:rsidR="00B80FA2">
        <w:t xml:space="preserve">toxicology in general, or in </w:t>
      </w:r>
      <w:r w:rsidRPr="00C22ED4">
        <w:t xml:space="preserve">any application that requires </w:t>
      </w:r>
      <w:r w:rsidR="00B80FA2">
        <w:t>analyzes and monitoring the levels of nucleic acids, particularly mRNA.</w:t>
      </w:r>
    </w:p>
    <w:p w:rsidR="009124E8" w:rsidRDefault="009124E8" w:rsidP="00A66F2F">
      <w:pPr>
        <w:rPr>
          <w:b/>
        </w:rPr>
      </w:pPr>
      <w:r w:rsidRPr="00671C85">
        <w:rPr>
          <w:b/>
        </w:rPr>
        <w:t>Keywords describing research area:</w:t>
      </w:r>
    </w:p>
    <w:p w:rsidR="00B756FA" w:rsidRPr="00B756FA" w:rsidRDefault="00B756FA" w:rsidP="00A66F2F">
      <w:r w:rsidRPr="00B756FA">
        <w:t>gene expression,</w:t>
      </w:r>
      <w:r>
        <w:t xml:space="preserve"> </w:t>
      </w:r>
      <w:r w:rsidR="00DD096B">
        <w:t xml:space="preserve">toxicity, </w:t>
      </w:r>
      <w:r>
        <w:t>genotoxicity</w:t>
      </w:r>
      <w:r w:rsidR="00EF37A4">
        <w:t xml:space="preserve">, </w:t>
      </w:r>
      <w:r w:rsidR="00EF37A4" w:rsidRPr="00EF37A4">
        <w:t>biological effects of nanomaterials, nanoparticles</w:t>
      </w:r>
    </w:p>
    <w:p w:rsidR="00BB34C7" w:rsidRDefault="00BB34C7" w:rsidP="00A66F2F">
      <w:pPr>
        <w:rPr>
          <w:b/>
          <w:sz w:val="32"/>
          <w:szCs w:val="32"/>
        </w:rPr>
      </w:pPr>
    </w:p>
    <w:p w:rsidR="009124E8" w:rsidRPr="00671C85" w:rsidRDefault="009124E8" w:rsidP="00A66F2F">
      <w:pPr>
        <w:rPr>
          <w:b/>
          <w:sz w:val="32"/>
          <w:szCs w:val="32"/>
        </w:rPr>
      </w:pPr>
      <w:r w:rsidRPr="00671C85">
        <w:rPr>
          <w:b/>
          <w:sz w:val="32"/>
          <w:szCs w:val="32"/>
        </w:rPr>
        <w:lastRenderedPageBreak/>
        <w:t>Competence</w:t>
      </w:r>
    </w:p>
    <w:p w:rsidR="00A66F2F" w:rsidRDefault="009124E8" w:rsidP="00A66F2F">
      <w:pPr>
        <w:rPr>
          <w:b/>
        </w:rPr>
      </w:pPr>
      <w:r w:rsidRPr="00671C85">
        <w:rPr>
          <w:b/>
        </w:rPr>
        <w:t>Relevance for applied and industrial research:</w:t>
      </w:r>
    </w:p>
    <w:p w:rsidR="00671C85" w:rsidRDefault="000B2A79" w:rsidP="00A66F2F">
      <w:r>
        <w:t xml:space="preserve">Versatile </w:t>
      </w:r>
      <w:r w:rsidR="00BB34C7" w:rsidRPr="00B70C42">
        <w:rPr>
          <w:rFonts w:cs="Helvetica"/>
          <w:color w:val="333333"/>
          <w:shd w:val="clear" w:color="auto" w:fill="FFFFFF"/>
        </w:rPr>
        <w:t xml:space="preserve">real-time PCR </w:t>
      </w:r>
      <w:r>
        <w:t>system applicable for detection of toxic effects of new materials.</w:t>
      </w:r>
    </w:p>
    <w:p w:rsidR="009124E8" w:rsidRPr="00671C85" w:rsidRDefault="009124E8" w:rsidP="00A66F2F">
      <w:pPr>
        <w:rPr>
          <w:b/>
        </w:rPr>
      </w:pPr>
      <w:r w:rsidRPr="00671C85">
        <w:rPr>
          <w:b/>
        </w:rPr>
        <w:t>Relevance for fundamental studies:</w:t>
      </w:r>
    </w:p>
    <w:p w:rsidR="00671C85" w:rsidRPr="00BB34C7" w:rsidRDefault="00BC4D99" w:rsidP="00A66F2F">
      <w:r w:rsidRPr="00BC4D99">
        <w:t xml:space="preserve">Analyzes </w:t>
      </w:r>
      <w:r w:rsidR="000B2A79">
        <w:t>of mechanisms of effects of</w:t>
      </w:r>
      <w:r>
        <w:t xml:space="preserve"> </w:t>
      </w:r>
      <w:r w:rsidR="000B2A79">
        <w:t xml:space="preserve">xenobiotics, including </w:t>
      </w:r>
      <w:r>
        <w:t>nanomaterials</w:t>
      </w:r>
      <w:r w:rsidR="000B2A79">
        <w:t>,</w:t>
      </w:r>
      <w:r w:rsidR="00C52476">
        <w:t xml:space="preserve"> at</w:t>
      </w:r>
      <w:r>
        <w:t xml:space="preserve"> molecular level with the aim to identify possible </w:t>
      </w:r>
      <w:r w:rsidR="000B2A79">
        <w:t>negative response of the organism to the exposure to these compounds</w:t>
      </w:r>
      <w:r w:rsidR="00DD096B">
        <w:t xml:space="preserve"> and materials</w:t>
      </w:r>
      <w:r w:rsidR="000B2A79">
        <w:t>.</w:t>
      </w:r>
    </w:p>
    <w:sectPr w:rsidR="00671C85" w:rsidRPr="00BB34C7" w:rsidSect="00AA3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2F"/>
    <w:rsid w:val="000163BD"/>
    <w:rsid w:val="000227DC"/>
    <w:rsid w:val="000270F8"/>
    <w:rsid w:val="000616D6"/>
    <w:rsid w:val="0009683E"/>
    <w:rsid w:val="000B2A79"/>
    <w:rsid w:val="000B5E69"/>
    <w:rsid w:val="000D3361"/>
    <w:rsid w:val="000E22E4"/>
    <w:rsid w:val="00127320"/>
    <w:rsid w:val="00141189"/>
    <w:rsid w:val="00144F6C"/>
    <w:rsid w:val="00151529"/>
    <w:rsid w:val="001C5D85"/>
    <w:rsid w:val="001E0689"/>
    <w:rsid w:val="00200954"/>
    <w:rsid w:val="0023225A"/>
    <w:rsid w:val="00250847"/>
    <w:rsid w:val="002A071C"/>
    <w:rsid w:val="002D34CF"/>
    <w:rsid w:val="00396353"/>
    <w:rsid w:val="003C2D77"/>
    <w:rsid w:val="003D0376"/>
    <w:rsid w:val="003F7AA1"/>
    <w:rsid w:val="00412FAE"/>
    <w:rsid w:val="00425926"/>
    <w:rsid w:val="004C6F37"/>
    <w:rsid w:val="00514299"/>
    <w:rsid w:val="005305F6"/>
    <w:rsid w:val="00596A17"/>
    <w:rsid w:val="005A1001"/>
    <w:rsid w:val="005B580F"/>
    <w:rsid w:val="005D7BAC"/>
    <w:rsid w:val="005F4255"/>
    <w:rsid w:val="00610EF3"/>
    <w:rsid w:val="00620D61"/>
    <w:rsid w:val="00625EAE"/>
    <w:rsid w:val="00647884"/>
    <w:rsid w:val="00671C85"/>
    <w:rsid w:val="00675B04"/>
    <w:rsid w:val="0069705D"/>
    <w:rsid w:val="00697D5A"/>
    <w:rsid w:val="006A44A8"/>
    <w:rsid w:val="00700A56"/>
    <w:rsid w:val="007B4790"/>
    <w:rsid w:val="007F5F97"/>
    <w:rsid w:val="007F685A"/>
    <w:rsid w:val="0086289B"/>
    <w:rsid w:val="008B0D74"/>
    <w:rsid w:val="008D66CC"/>
    <w:rsid w:val="008E32CC"/>
    <w:rsid w:val="009124E8"/>
    <w:rsid w:val="00926D36"/>
    <w:rsid w:val="009C2AFC"/>
    <w:rsid w:val="00A14F6F"/>
    <w:rsid w:val="00A66F2F"/>
    <w:rsid w:val="00A674ED"/>
    <w:rsid w:val="00A8699D"/>
    <w:rsid w:val="00AA37DD"/>
    <w:rsid w:val="00AC6FBB"/>
    <w:rsid w:val="00B5358E"/>
    <w:rsid w:val="00B600E5"/>
    <w:rsid w:val="00B70C42"/>
    <w:rsid w:val="00B756FA"/>
    <w:rsid w:val="00B80FA2"/>
    <w:rsid w:val="00BB34C7"/>
    <w:rsid w:val="00BC4D99"/>
    <w:rsid w:val="00BE21A6"/>
    <w:rsid w:val="00C22ED4"/>
    <w:rsid w:val="00C52476"/>
    <w:rsid w:val="00D20F23"/>
    <w:rsid w:val="00D50BDB"/>
    <w:rsid w:val="00D80AB8"/>
    <w:rsid w:val="00DA2978"/>
    <w:rsid w:val="00DD096B"/>
    <w:rsid w:val="00EF37A4"/>
    <w:rsid w:val="00F01C9F"/>
    <w:rsid w:val="00F115D5"/>
    <w:rsid w:val="00F6734C"/>
    <w:rsid w:val="00F86A21"/>
    <w:rsid w:val="00FD16B0"/>
    <w:rsid w:val="00FE47E9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43EA5D-0578-42B4-9E02-E3C540F2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7DD"/>
  </w:style>
  <w:style w:type="paragraph" w:styleId="Heading1">
    <w:name w:val="heading 1"/>
    <w:basedOn w:val="Normal"/>
    <w:link w:val="Heading1Char"/>
    <w:uiPriority w:val="9"/>
    <w:qFormat/>
    <w:rsid w:val="005F42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683E"/>
    <w:rPr>
      <w:color w:val="0000FF" w:themeColor="hyperlink"/>
      <w:u w:val="single"/>
    </w:rPr>
  </w:style>
  <w:style w:type="character" w:customStyle="1" w:styleId="shorttext">
    <w:name w:val="short_text"/>
    <w:basedOn w:val="DefaultParagraphFont"/>
    <w:rsid w:val="0009683E"/>
  </w:style>
  <w:style w:type="character" w:customStyle="1" w:styleId="hps">
    <w:name w:val="hps"/>
    <w:basedOn w:val="DefaultParagraphFont"/>
    <w:rsid w:val="0009683E"/>
  </w:style>
  <w:style w:type="paragraph" w:styleId="ListParagraph">
    <w:name w:val="List Paragraph"/>
    <w:basedOn w:val="Normal"/>
    <w:uiPriority w:val="34"/>
    <w:qFormat/>
    <w:rsid w:val="0009683E"/>
    <w:pPr>
      <w:spacing w:after="160" w:line="259" w:lineRule="auto"/>
      <w:ind w:left="720"/>
      <w:contextualSpacing/>
    </w:pPr>
    <w:rPr>
      <w:lang w:val="cs-CZ"/>
    </w:rPr>
  </w:style>
  <w:style w:type="paragraph" w:styleId="NormalWeb">
    <w:name w:val="Normal (Web)"/>
    <w:basedOn w:val="Normal"/>
    <w:uiPriority w:val="99"/>
    <w:semiHidden/>
    <w:unhideWhenUsed/>
    <w:rsid w:val="000968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s-CZ" w:eastAsia="cs-CZ"/>
    </w:rPr>
  </w:style>
  <w:style w:type="character" w:styleId="Strong">
    <w:name w:val="Strong"/>
    <w:basedOn w:val="DefaultParagraphFont"/>
    <w:uiPriority w:val="22"/>
    <w:qFormat/>
    <w:rsid w:val="0009683E"/>
    <w:rPr>
      <w:b/>
      <w:bCs/>
      <w:color w:val="005983"/>
    </w:rPr>
  </w:style>
  <w:style w:type="character" w:customStyle="1" w:styleId="apple-converted-space">
    <w:name w:val="apple-converted-space"/>
    <w:basedOn w:val="DefaultParagraphFont"/>
    <w:rsid w:val="00425926"/>
  </w:style>
  <w:style w:type="character" w:customStyle="1" w:styleId="Heading1Char">
    <w:name w:val="Heading 1 Char"/>
    <w:basedOn w:val="DefaultParagraphFont"/>
    <w:link w:val="Heading1"/>
    <w:uiPriority w:val="9"/>
    <w:rsid w:val="005F42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D80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chal.sima@iem.cas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em.cas.cz/" TargetMode="External"/><Relationship Id="rId5" Type="http://schemas.openxmlformats.org/officeDocument/2006/relationships/hyperlink" Target="mailto:prossner@biomed.cas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1ADC2-DB96-4B8D-8D0D-93ED6B66E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minhova</cp:lastModifiedBy>
  <cp:revision>3</cp:revision>
  <cp:lastPrinted>2016-02-04T12:24:00Z</cp:lastPrinted>
  <dcterms:created xsi:type="dcterms:W3CDTF">2021-06-30T08:57:00Z</dcterms:created>
  <dcterms:modified xsi:type="dcterms:W3CDTF">2021-06-30T09:26:00Z</dcterms:modified>
</cp:coreProperties>
</file>