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E6" w:rsidRPr="00CE3BE6" w:rsidRDefault="00CE3BE6" w:rsidP="00CE3BE6">
      <w:pPr>
        <w:rPr>
          <w:rFonts w:cs="Arial"/>
          <w:color w:val="000000"/>
          <w:sz w:val="36"/>
          <w:szCs w:val="36"/>
        </w:rPr>
      </w:pPr>
      <w:r w:rsidRPr="00CE3BE6">
        <w:rPr>
          <w:rFonts w:cs="Arial"/>
          <w:b/>
          <w:sz w:val="36"/>
          <w:szCs w:val="36"/>
        </w:rPr>
        <w:t>X-ray Powder Diffraction</w:t>
      </w:r>
    </w:p>
    <w:p w:rsidR="002E574C" w:rsidRDefault="002E574C" w:rsidP="00A66F2F">
      <w:pPr>
        <w:rPr>
          <w:lang w:val="cs-CZ"/>
        </w:rPr>
      </w:pPr>
    </w:p>
    <w:p w:rsidR="009C2AFC" w:rsidRPr="00396353" w:rsidRDefault="00412FAE" w:rsidP="00A66F2F">
      <w:pPr>
        <w:rPr>
          <w:lang w:val="cs-CZ"/>
        </w:rPr>
      </w:pPr>
      <w:r w:rsidRPr="00396353">
        <w:rPr>
          <w:lang w:val="cs-CZ"/>
        </w:rPr>
        <w:t>Žlutě podbarvená pole jsou položky, podle kterých bude možno v této databázi vyhledávat</w:t>
      </w:r>
    </w:p>
    <w:p w:rsidR="00A66F2F" w:rsidRPr="00396353" w:rsidRDefault="00A66F2F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1C2C97">
        <w:rPr>
          <w:b/>
          <w:lang w:val="cs-CZ"/>
        </w:rPr>
        <w:t>X-ray Powder Diffraction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57771C">
        <w:rPr>
          <w:b/>
        </w:rPr>
        <w:t>UPOL7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073239" w:rsidRPr="00073239">
        <w:t xml:space="preserve">Prof. RNDr. </w:t>
      </w:r>
      <w:proofErr w:type="spellStart"/>
      <w:r w:rsidR="00073239" w:rsidRPr="00073239">
        <w:t>Radek</w:t>
      </w:r>
      <w:proofErr w:type="spellEnd"/>
      <w:r w:rsidR="00073239" w:rsidRPr="00073239">
        <w:t xml:space="preserve"> </w:t>
      </w:r>
      <w:proofErr w:type="spellStart"/>
      <w:r w:rsidR="00073239" w:rsidRPr="00073239">
        <w:t>Zbořil</w:t>
      </w:r>
      <w:proofErr w:type="spellEnd"/>
      <w:r w:rsidR="00073239" w:rsidRPr="00073239">
        <w:t>, Ph.D.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073239" w:rsidRPr="00073239">
        <w:t>Palacký</w:t>
      </w:r>
      <w:proofErr w:type="spellEnd"/>
      <w:r w:rsidR="00073239" w:rsidRPr="00073239">
        <w:t xml:space="preserve"> University Olomouc, Regional Centre of Advanced Technologies and Materials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073239" w:rsidRPr="00073239">
        <w:t>Šlechtitelů</w:t>
      </w:r>
      <w:proofErr w:type="spellEnd"/>
      <w:r w:rsidR="00073239" w:rsidRPr="00073239">
        <w:t xml:space="preserve"> 27, 78371 Olomouc, Czech Republic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6" w:history="1">
        <w:r w:rsidR="00073239">
          <w:rPr>
            <w:rStyle w:val="Hypertextovodkaz"/>
          </w:rPr>
          <w:t>rcptm.services@upol.cz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073239" w:rsidRPr="00073239">
        <w:t>(+420) 58 563 4973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073239" w:rsidRPr="00073239">
        <w:t>www.rcptm.com</w:t>
      </w:r>
    </w:p>
    <w:p w:rsidR="00250847" w:rsidRPr="00396353" w:rsidRDefault="00250847" w:rsidP="00A66F2F">
      <w:pPr>
        <w:rPr>
          <w:b/>
        </w:rPr>
      </w:pPr>
    </w:p>
    <w:p w:rsidR="0086289B" w:rsidRPr="003A73CA" w:rsidRDefault="0086289B" w:rsidP="00A66F2F">
      <w:r w:rsidRPr="00396353">
        <w:rPr>
          <w:b/>
        </w:rPr>
        <w:t>Contact person:</w:t>
      </w:r>
      <w:r w:rsidR="001C2C97">
        <w:rPr>
          <w:b/>
        </w:rPr>
        <w:t xml:space="preserve"> </w:t>
      </w:r>
      <w:r w:rsidR="001C2C97" w:rsidRPr="003A73CA">
        <w:t>Mgr. Jan Filip, Ph.D.</w:t>
      </w: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1C2C97">
        <w:rPr>
          <w:b/>
        </w:rPr>
        <w:t xml:space="preserve"> </w:t>
      </w:r>
      <w:r w:rsidR="001C2C97" w:rsidRPr="003A73CA">
        <w:t>jan.filip@upol.cz</w:t>
      </w:r>
      <w:r w:rsidR="001C2C97">
        <w:rPr>
          <w:b/>
        </w:rPr>
        <w:tab/>
      </w:r>
    </w:p>
    <w:p w:rsidR="0086289B" w:rsidRPr="003A73CA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1C2C97">
        <w:rPr>
          <w:b/>
        </w:rPr>
        <w:t xml:space="preserve"> </w:t>
      </w:r>
      <w:r w:rsidR="001C2C97" w:rsidRPr="003A73CA">
        <w:t>+420 585 634 959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1C2C97" w:rsidRDefault="001C2C97" w:rsidP="001C2C97">
      <w:pPr>
        <w:jc w:val="both"/>
        <w:rPr>
          <w:rFonts w:cs="Calibri"/>
        </w:rPr>
      </w:pPr>
      <w:r w:rsidRPr="001C2C97">
        <w:rPr>
          <w:rFonts w:cs="Calibri"/>
        </w:rPr>
        <w:t>X-ray powder diffraction is fast nondestructive physical method commonly used for structural and phase analysis of crystalline phases and determination of particle and crystallite size of nanocrystalline materials.  X-ray powder diffraction with employed high-temperature/reaction chamber can be utilized for all above mentioned analysis in non-ambient conditions (i.e., elevated temperature and/or gas pressure), and furthermore, for performing in-situ monitored thermally induced solid state reactions and solids-gas reactions.</w:t>
      </w:r>
    </w:p>
    <w:p w:rsidR="008D62D4" w:rsidRDefault="008D62D4" w:rsidP="001C2C97">
      <w:pPr>
        <w:jc w:val="both"/>
        <w:rPr>
          <w:rFonts w:cs="Calibri"/>
        </w:rPr>
      </w:pPr>
    </w:p>
    <w:p w:rsidR="008D62D4" w:rsidRDefault="008D62D4" w:rsidP="001C2C97">
      <w:pPr>
        <w:jc w:val="both"/>
        <w:rPr>
          <w:rFonts w:cs="Calibri"/>
        </w:rPr>
      </w:pPr>
    </w:p>
    <w:p w:rsidR="008D62D4" w:rsidRDefault="008D62D4" w:rsidP="008D62D4">
      <w:pPr>
        <w:rPr>
          <w:b/>
        </w:rPr>
      </w:pPr>
      <w:r>
        <w:rPr>
          <w:b/>
        </w:rPr>
        <w:lastRenderedPageBreak/>
        <w:t xml:space="preserve">Specifications 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 xml:space="preserve">θ-θ Bragg-Brentano </w:t>
      </w:r>
      <w:proofErr w:type="spellStart"/>
      <w:r w:rsidRPr="008D62D4">
        <w:rPr>
          <w:sz w:val="18"/>
          <w:szCs w:val="22"/>
        </w:rPr>
        <w:t>parafocusing</w:t>
      </w:r>
      <w:proofErr w:type="spellEnd"/>
      <w:r w:rsidRPr="008D62D4">
        <w:rPr>
          <w:sz w:val="18"/>
          <w:szCs w:val="22"/>
        </w:rPr>
        <w:t xml:space="preserve"> geometry (2θ range: 0 – 145°)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Co Kα radiation (λ = 1.79031 Å)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proofErr w:type="spellStart"/>
      <w:r w:rsidRPr="008D62D4">
        <w:rPr>
          <w:sz w:val="18"/>
          <w:szCs w:val="22"/>
        </w:rPr>
        <w:t>Reflexion</w:t>
      </w:r>
      <w:proofErr w:type="spellEnd"/>
      <w:r w:rsidRPr="008D62D4">
        <w:rPr>
          <w:sz w:val="18"/>
          <w:szCs w:val="22"/>
        </w:rPr>
        <w:t>/transmission configuration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Grazing incidence (GI) regime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Small Angle X-ray Scattering (SAXS)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Measurement in various temperatures (25 – 1200 °C)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Oxidative (1200 °C)/inert (1200 °C)/reductive (900 °C) atmosphere/vacuum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Variable pressure (1 mbar – 10 bar)</w:t>
      </w:r>
    </w:p>
    <w:p w:rsidR="008D62D4" w:rsidRDefault="008D62D4" w:rsidP="008D62D4">
      <w:pPr>
        <w:rPr>
          <w:b/>
        </w:rPr>
      </w:pPr>
    </w:p>
    <w:p w:rsidR="008D62D4" w:rsidRPr="008D62D4" w:rsidRDefault="008D62D4" w:rsidP="008D62D4">
      <w:pPr>
        <w:rPr>
          <w:b/>
        </w:rPr>
      </w:pPr>
      <w:r w:rsidRPr="008D62D4">
        <w:rPr>
          <w:b/>
        </w:rPr>
        <w:t>Acquired information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Identification of crystalline phases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Quantitative phase analysis</w:t>
      </w:r>
    </w:p>
    <w:p w:rsidR="008D62D4" w:rsidRPr="008D62D4" w:rsidRDefault="008D62D4" w:rsidP="008D62D4">
      <w:pPr>
        <w:pStyle w:val="Odstavecseseznamem"/>
        <w:numPr>
          <w:ilvl w:val="0"/>
          <w:numId w:val="1"/>
        </w:numPr>
        <w:spacing w:line="276" w:lineRule="auto"/>
        <w:ind w:left="415" w:firstLine="0"/>
        <w:jc w:val="both"/>
        <w:rPr>
          <w:rFonts w:cs="Calibri"/>
          <w:sz w:val="18"/>
        </w:rPr>
      </w:pPr>
      <w:r w:rsidRPr="008D62D4">
        <w:rPr>
          <w:rFonts w:cs="Calibri"/>
          <w:sz w:val="18"/>
        </w:rPr>
        <w:t>Determination of amorphous phase content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Structural analysis of powder samples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 xml:space="preserve">Determination of particle size 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Determination of Mean X-ray Coherence Length (MCL)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Determination of residual stress in (nano)material samples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Monitoring and determination of structural/phase transformations in non-ambient conditions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Determination of temperature dependent dilatation</w:t>
      </w:r>
    </w:p>
    <w:p w:rsidR="008D62D4" w:rsidRPr="001077CA" w:rsidRDefault="008D62D4" w:rsidP="008D62D4">
      <w:pPr>
        <w:spacing w:before="44"/>
        <w:ind w:left="415"/>
        <w:jc w:val="both"/>
        <w:rPr>
          <w:rFonts w:cs="Calibri"/>
          <w:sz w:val="24"/>
          <w:szCs w:val="24"/>
        </w:rPr>
      </w:pPr>
    </w:p>
    <w:p w:rsidR="008D62D4" w:rsidRPr="008D62D4" w:rsidRDefault="008D62D4" w:rsidP="008D62D4">
      <w:pPr>
        <w:rPr>
          <w:b/>
        </w:rPr>
      </w:pPr>
      <w:r w:rsidRPr="008D62D4">
        <w:rPr>
          <w:b/>
        </w:rPr>
        <w:t>Sample types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Powder (nano)materials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Bulk nanostructured materials (maximal sample size: diameter 140 mm, height 64 mm, weight 2 kg)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Thin films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Liquid samples (measured in capillary)</w:t>
      </w:r>
    </w:p>
    <w:p w:rsidR="008D62D4" w:rsidRPr="008D62D4" w:rsidRDefault="008D62D4" w:rsidP="008D62D4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 xml:space="preserve">Above mentioned types of samples unstable in the air (measured in protective </w:t>
      </w:r>
      <w:proofErr w:type="spellStart"/>
      <w:r w:rsidRPr="008D62D4">
        <w:rPr>
          <w:sz w:val="18"/>
          <w:szCs w:val="22"/>
        </w:rPr>
        <w:t>Kapton</w:t>
      </w:r>
      <w:proofErr w:type="spellEnd"/>
      <w:r w:rsidRPr="008D62D4">
        <w:rPr>
          <w:sz w:val="18"/>
          <w:szCs w:val="22"/>
        </w:rPr>
        <w:t xml:space="preserve"> foil)</w:t>
      </w:r>
    </w:p>
    <w:p w:rsidR="008D62D4" w:rsidRDefault="008D62D4" w:rsidP="008D62D4">
      <w:pPr>
        <w:pStyle w:val="Nadpis3"/>
        <w:spacing w:line="276" w:lineRule="auto"/>
        <w:jc w:val="both"/>
        <w:rPr>
          <w:sz w:val="18"/>
          <w:szCs w:val="22"/>
        </w:rPr>
      </w:pPr>
    </w:p>
    <w:p w:rsidR="003A73CA" w:rsidRDefault="003A73CA" w:rsidP="003A73CA">
      <w:pPr>
        <w:rPr>
          <w:b/>
          <w:sz w:val="32"/>
          <w:szCs w:val="32"/>
        </w:rPr>
      </w:pPr>
    </w:p>
    <w:p w:rsidR="00A66F2F" w:rsidRPr="003A73CA" w:rsidRDefault="00A66F2F" w:rsidP="003A73CA">
      <w:r w:rsidRPr="006D163B">
        <w:rPr>
          <w:b/>
          <w:sz w:val="32"/>
          <w:szCs w:val="32"/>
        </w:rPr>
        <w:t>Specification of expertise rele</w:t>
      </w:r>
      <w:r w:rsidR="009124E8" w:rsidRPr="006D163B">
        <w:rPr>
          <w:b/>
          <w:sz w:val="32"/>
          <w:szCs w:val="32"/>
        </w:rPr>
        <w:t xml:space="preserve">vant to </w:t>
      </w:r>
      <w:proofErr w:type="spellStart"/>
      <w:r w:rsidR="009124E8" w:rsidRPr="006D163B">
        <w:rPr>
          <w:b/>
          <w:sz w:val="32"/>
          <w:szCs w:val="32"/>
        </w:rPr>
        <w:t>NanoEnviCz</w:t>
      </w:r>
      <w:proofErr w:type="spellEnd"/>
      <w:r w:rsidR="009124E8" w:rsidRPr="006D163B">
        <w:rPr>
          <w:b/>
          <w:sz w:val="32"/>
          <w:szCs w:val="32"/>
        </w:rPr>
        <w:t xml:space="preserve"> </w:t>
      </w:r>
      <w:proofErr w:type="spellStart"/>
      <w:r w:rsidR="009124E8" w:rsidRPr="006D163B">
        <w:rPr>
          <w:b/>
          <w:sz w:val="32"/>
          <w:szCs w:val="32"/>
        </w:rPr>
        <w:t>workpackages</w:t>
      </w:r>
      <w:proofErr w:type="spellEnd"/>
      <w:r w:rsidR="009124E8" w:rsidRPr="006D163B">
        <w:rPr>
          <w:b/>
          <w:sz w:val="32"/>
          <w:szCs w:val="32"/>
        </w:rPr>
        <w:t>:</w:t>
      </w:r>
    </w:p>
    <w:p w:rsidR="00CE3BE6" w:rsidRPr="00CE3BE6" w:rsidRDefault="00CE3BE6" w:rsidP="0069705D">
      <w:pPr>
        <w:spacing w:after="100" w:afterAutospacing="1"/>
        <w:rPr>
          <w:b/>
        </w:rPr>
      </w:pPr>
      <w:r w:rsidRPr="00CE3BE6">
        <w:rPr>
          <w:rFonts w:cs="Arial"/>
          <w:b/>
          <w:lang w:val="de-DE"/>
        </w:rPr>
        <w:t>WP3</w:t>
      </w:r>
      <w:proofErr w:type="gramStart"/>
      <w:r w:rsidRPr="00CE3BE6">
        <w:rPr>
          <w:rFonts w:cs="Arial"/>
          <w:lang w:val="de-DE"/>
        </w:rPr>
        <w:t>a,c</w:t>
      </w:r>
      <w:proofErr w:type="gramEnd"/>
      <w:r w:rsidRPr="00CE3BE6">
        <w:rPr>
          <w:rFonts w:cs="Arial"/>
          <w:lang w:val="de-DE"/>
        </w:rPr>
        <w:t xml:space="preserve">-h </w:t>
      </w:r>
      <w:r w:rsidRPr="00CE3BE6">
        <w:rPr>
          <w:rFonts w:cs="Arial"/>
          <w:b/>
          <w:lang w:val="de-DE"/>
        </w:rPr>
        <w:t>WP4</w:t>
      </w:r>
      <w:r w:rsidRPr="00CE3BE6">
        <w:rPr>
          <w:rFonts w:cs="Arial"/>
          <w:lang w:val="de-DE"/>
        </w:rPr>
        <w:t xml:space="preserve">a,b,c </w:t>
      </w:r>
      <w:r w:rsidRPr="00CE3BE6">
        <w:rPr>
          <w:rFonts w:cs="Arial"/>
          <w:b/>
          <w:lang w:val="de-DE"/>
        </w:rPr>
        <w:t>WP5</w:t>
      </w:r>
      <w:r w:rsidRPr="00CE3BE6">
        <w:rPr>
          <w:rFonts w:cs="Arial"/>
          <w:lang w:val="de-DE"/>
        </w:rPr>
        <w:t>a</w:t>
      </w:r>
      <w:r w:rsidRPr="00CE3BE6">
        <w:rPr>
          <w:rFonts w:cs="Arial"/>
          <w:b/>
          <w:lang w:val="de-DE"/>
        </w:rPr>
        <w:t>,</w:t>
      </w:r>
      <w:r w:rsidRPr="00CE3BE6">
        <w:rPr>
          <w:rFonts w:cs="Arial"/>
          <w:lang w:val="de-DE"/>
        </w:rPr>
        <w:t>c,</w:t>
      </w:r>
      <w:r w:rsidRPr="00CE3BE6">
        <w:rPr>
          <w:rFonts w:cs="Arial"/>
          <w:b/>
          <w:lang w:val="de-DE"/>
        </w:rPr>
        <w:t xml:space="preserve"> WP6</w:t>
      </w:r>
      <w:r w:rsidRPr="00CE3BE6">
        <w:rPr>
          <w:rFonts w:cs="Arial"/>
          <w:lang w:val="de-DE"/>
        </w:rPr>
        <w:t xml:space="preserve">a,d-f, </w:t>
      </w:r>
      <w:r w:rsidRPr="00CE3BE6">
        <w:rPr>
          <w:rFonts w:cs="Arial"/>
          <w:b/>
          <w:lang w:val="de-DE"/>
        </w:rPr>
        <w:t>WP7</w:t>
      </w:r>
      <w:r w:rsidRPr="00CE3BE6">
        <w:rPr>
          <w:rFonts w:cs="Arial"/>
          <w:lang w:val="de-DE"/>
        </w:rPr>
        <w:t>a-d,f,h,i</w:t>
      </w:r>
    </w:p>
    <w:p w:rsidR="003A73CA" w:rsidRDefault="003A73CA" w:rsidP="00A66F2F"/>
    <w:p w:rsidR="00A66F2F" w:rsidRPr="005A1001" w:rsidRDefault="00A66F2F" w:rsidP="00A66F2F">
      <w:pPr>
        <w:rPr>
          <w:b/>
          <w:sz w:val="32"/>
          <w:szCs w:val="32"/>
        </w:rPr>
      </w:pPr>
      <w:bookmarkStart w:id="0" w:name="_GoBack"/>
      <w:bookmarkEnd w:id="0"/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6D163B">
        <w:rPr>
          <w:b/>
        </w:rPr>
        <w:t>Please, specify</w:t>
      </w:r>
      <w:r w:rsidR="002A071C" w:rsidRPr="006D163B">
        <w:rPr>
          <w:b/>
        </w:rPr>
        <w:t xml:space="preserve"> the</w:t>
      </w:r>
      <w:r w:rsidRPr="006D163B">
        <w:rPr>
          <w:b/>
        </w:rPr>
        <w:t xml:space="preserve"> main research topics</w:t>
      </w:r>
      <w:r w:rsidR="00B5358E" w:rsidRPr="006D163B">
        <w:rPr>
          <w:b/>
        </w:rPr>
        <w:t xml:space="preserve"> connected with equipment</w:t>
      </w:r>
      <w:r w:rsidRPr="006D163B">
        <w:t>:</w:t>
      </w:r>
    </w:p>
    <w:p w:rsidR="00405383" w:rsidRDefault="00405383" w:rsidP="00405383">
      <w:r>
        <w:t>Room temperature structural and phase characterization of nanostructured materials</w:t>
      </w:r>
    </w:p>
    <w:p w:rsidR="00405383" w:rsidRPr="008D62D4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Identification of crystalline phases</w:t>
      </w:r>
    </w:p>
    <w:p w:rsidR="00405383" w:rsidRPr="008D62D4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lastRenderedPageBreak/>
        <w:t>Quantitative phase analysis</w:t>
      </w:r>
    </w:p>
    <w:p w:rsidR="00405383" w:rsidRPr="008D62D4" w:rsidRDefault="00405383" w:rsidP="00405383">
      <w:pPr>
        <w:pStyle w:val="Odstavecseseznamem"/>
        <w:numPr>
          <w:ilvl w:val="0"/>
          <w:numId w:val="1"/>
        </w:numPr>
        <w:spacing w:line="276" w:lineRule="auto"/>
        <w:ind w:left="415" w:firstLine="0"/>
        <w:jc w:val="both"/>
        <w:rPr>
          <w:rFonts w:cs="Calibri"/>
          <w:sz w:val="18"/>
        </w:rPr>
      </w:pPr>
      <w:r w:rsidRPr="008D62D4">
        <w:rPr>
          <w:rFonts w:cs="Calibri"/>
          <w:sz w:val="18"/>
        </w:rPr>
        <w:t>Determination of amorphous phase content</w:t>
      </w:r>
    </w:p>
    <w:p w:rsidR="00405383" w:rsidRPr="008D62D4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Structural analysis of powder samples</w:t>
      </w:r>
    </w:p>
    <w:p w:rsidR="00405383" w:rsidRPr="008D62D4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 xml:space="preserve">Determination of particle size </w:t>
      </w:r>
    </w:p>
    <w:p w:rsidR="00405383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Determination of Mean X-ray Coherence Length (MCL)</w:t>
      </w:r>
    </w:p>
    <w:p w:rsidR="00405383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 w:rsidRPr="008D62D4">
        <w:rPr>
          <w:sz w:val="18"/>
          <w:szCs w:val="22"/>
        </w:rPr>
        <w:t>Determination of residual stress in (nano)material samples</w:t>
      </w:r>
    </w:p>
    <w:p w:rsidR="00073239" w:rsidRDefault="00073239" w:rsidP="00A66F2F">
      <w:pPr>
        <w:rPr>
          <w:b/>
          <w:highlight w:val="yellow"/>
        </w:rPr>
      </w:pPr>
    </w:p>
    <w:p w:rsidR="00625EAE" w:rsidRPr="00405383" w:rsidRDefault="00625EAE" w:rsidP="00A66F2F">
      <w:pPr>
        <w:rPr>
          <w:b/>
        </w:rPr>
      </w:pPr>
      <w:r w:rsidRPr="00405383">
        <w:rPr>
          <w:b/>
        </w:rPr>
        <w:t xml:space="preserve">Please, specify </w:t>
      </w:r>
      <w:r w:rsidR="002A071C" w:rsidRPr="00405383">
        <w:rPr>
          <w:b/>
        </w:rPr>
        <w:t xml:space="preserve">the </w:t>
      </w:r>
      <w:r w:rsidRPr="00405383">
        <w:rPr>
          <w:b/>
        </w:rPr>
        <w:t>secondary research topics</w:t>
      </w:r>
      <w:r w:rsidR="00B5358E" w:rsidRPr="00405383">
        <w:rPr>
          <w:b/>
        </w:rPr>
        <w:t xml:space="preserve"> connected with equipment</w:t>
      </w:r>
      <w:r w:rsidRPr="00405383">
        <w:rPr>
          <w:b/>
        </w:rPr>
        <w:t xml:space="preserve">: </w:t>
      </w:r>
    </w:p>
    <w:p w:rsidR="00405383" w:rsidRDefault="00405383" w:rsidP="00405383">
      <w:r>
        <w:t xml:space="preserve">Synthesis and in-situ monitored structural transformations of the (nano)materials </w:t>
      </w:r>
    </w:p>
    <w:p w:rsidR="00405383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>
        <w:rPr>
          <w:sz w:val="18"/>
          <w:szCs w:val="22"/>
        </w:rPr>
        <w:t>Synthesis of zero-valent iron (nano)microparticles for water treatment technologies</w:t>
      </w:r>
    </w:p>
    <w:p w:rsidR="00405383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>
        <w:rPr>
          <w:sz w:val="18"/>
          <w:szCs w:val="22"/>
        </w:rPr>
        <w:t>Synthesis of iron based composite materials for water treatment technologies</w:t>
      </w:r>
    </w:p>
    <w:p w:rsidR="00405383" w:rsidRPr="008D62D4" w:rsidRDefault="00405383" w:rsidP="00405383">
      <w:pPr>
        <w:pStyle w:val="Nadpis3"/>
        <w:numPr>
          <w:ilvl w:val="0"/>
          <w:numId w:val="1"/>
        </w:numPr>
        <w:spacing w:line="276" w:lineRule="auto"/>
        <w:ind w:left="415" w:firstLine="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Thermally induced solid state and solid state-gas redox and/or polymorphous transformation of inorganic materials </w:t>
      </w:r>
    </w:p>
    <w:p w:rsidR="009124E8" w:rsidRPr="008E32CC" w:rsidRDefault="009124E8" w:rsidP="00A66F2F">
      <w:pPr>
        <w:rPr>
          <w:b/>
        </w:rPr>
      </w:pPr>
      <w:r w:rsidRPr="00405383">
        <w:rPr>
          <w:b/>
        </w:rPr>
        <w:t>Keywords describing research area:</w:t>
      </w:r>
    </w:p>
    <w:p w:rsidR="009C2AFC" w:rsidRPr="00405383" w:rsidRDefault="00405383" w:rsidP="00A66F2F">
      <w:r w:rsidRPr="00405383">
        <w:t>X-ray powder diffraction, phase analysis, structure, crystallinity, particle size, solid state transformations</w:t>
      </w:r>
    </w:p>
    <w:p w:rsidR="003A73CA" w:rsidRDefault="003A73CA" w:rsidP="00A66F2F">
      <w:pPr>
        <w:rPr>
          <w:b/>
          <w:sz w:val="32"/>
          <w:szCs w:val="32"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E71DF5">
        <w:rPr>
          <w:b/>
        </w:rPr>
        <w:t>Relevance for applied and industrial research:</w:t>
      </w:r>
    </w:p>
    <w:p w:rsidR="00E71DF5" w:rsidRPr="00405383" w:rsidRDefault="00E71DF5" w:rsidP="00E71DF5">
      <w:r w:rsidRPr="00405383">
        <w:t xml:space="preserve">Structural and phase characterization of </w:t>
      </w:r>
      <w:r>
        <w:t>(</w:t>
      </w:r>
      <w:r w:rsidRPr="00405383">
        <w:t>nano</w:t>
      </w:r>
      <w:r>
        <w:t>)</w:t>
      </w:r>
      <w:r w:rsidRPr="00405383">
        <w:t>structured materials</w:t>
      </w:r>
    </w:p>
    <w:p w:rsidR="009124E8" w:rsidRDefault="00E71DF5" w:rsidP="00A66F2F">
      <w:r>
        <w:t>Optimization of synthesis conditions for iron based materials for water treatment technologies</w:t>
      </w:r>
    </w:p>
    <w:p w:rsidR="00E71DF5" w:rsidRDefault="00E71DF5" w:rsidP="00A66F2F"/>
    <w:p w:rsidR="009124E8" w:rsidRDefault="009124E8" w:rsidP="00A66F2F">
      <w:pPr>
        <w:rPr>
          <w:b/>
        </w:rPr>
      </w:pPr>
      <w:r w:rsidRPr="00E71DF5">
        <w:rPr>
          <w:b/>
        </w:rPr>
        <w:t>Relevance for fundamental studies:</w:t>
      </w:r>
    </w:p>
    <w:p w:rsidR="00405383" w:rsidRPr="00405383" w:rsidRDefault="00405383" w:rsidP="00A66F2F">
      <w:r w:rsidRPr="00405383">
        <w:t>Studying of thermally induced solid state and solid state-gas reactions</w:t>
      </w:r>
    </w:p>
    <w:p w:rsidR="00405383" w:rsidRPr="00405383" w:rsidRDefault="00405383" w:rsidP="00A66F2F">
      <w:r w:rsidRPr="00405383">
        <w:t xml:space="preserve">Structural refinement of </w:t>
      </w:r>
      <w:proofErr w:type="spellStart"/>
      <w:r w:rsidRPr="00405383">
        <w:t>nanocrystalline</w:t>
      </w:r>
      <w:proofErr w:type="spellEnd"/>
      <w:r w:rsidRPr="00405383">
        <w:t xml:space="preserve"> materials</w:t>
      </w:r>
    </w:p>
    <w:p w:rsidR="00405383" w:rsidRDefault="00405383" w:rsidP="00A66F2F">
      <w:pPr>
        <w:rPr>
          <w:b/>
        </w:rPr>
      </w:pP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 Bold">
    <w:altName w:val="Arial Narrow"/>
    <w:charset w:val="EE"/>
    <w:family w:val="swiss"/>
    <w:pitch w:val="variable"/>
    <w:sig w:usb0="00000001" w:usb1="00000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51E3"/>
    <w:multiLevelType w:val="hybridMultilevel"/>
    <w:tmpl w:val="62F8456C"/>
    <w:lvl w:ilvl="0" w:tplc="1F0C98AE">
      <w:start w:val="1"/>
      <w:numFmt w:val="bullet"/>
      <w:lvlText w:val="&gt;"/>
      <w:lvlJc w:val="left"/>
      <w:pPr>
        <w:ind w:left="1173" w:hanging="360"/>
      </w:pPr>
      <w:rPr>
        <w:rFonts w:ascii="Calibri" w:hAnsi="Calibri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" w15:restartNumberingAfterBreak="0">
    <w:nsid w:val="7B3D3442"/>
    <w:multiLevelType w:val="hybridMultilevel"/>
    <w:tmpl w:val="097E9A18"/>
    <w:lvl w:ilvl="0" w:tplc="1F0C98AE">
      <w:start w:val="1"/>
      <w:numFmt w:val="bullet"/>
      <w:lvlText w:val="&gt;"/>
      <w:lvlJc w:val="left"/>
      <w:pPr>
        <w:ind w:left="1173" w:hanging="360"/>
      </w:pPr>
      <w:rPr>
        <w:rFonts w:ascii="Calibri" w:hAnsi="Calibri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" w15:restartNumberingAfterBreak="0">
    <w:nsid w:val="7B4B4C3F"/>
    <w:multiLevelType w:val="hybridMultilevel"/>
    <w:tmpl w:val="90B2A4C8"/>
    <w:lvl w:ilvl="0" w:tplc="1F0C98AE">
      <w:start w:val="1"/>
      <w:numFmt w:val="bullet"/>
      <w:lvlText w:val="&gt;"/>
      <w:lvlJc w:val="left"/>
      <w:pPr>
        <w:ind w:left="1173" w:hanging="360"/>
      </w:pPr>
      <w:rPr>
        <w:rFonts w:ascii="Calibri" w:hAnsi="Calibri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73239"/>
    <w:rsid w:val="001C2C97"/>
    <w:rsid w:val="00200954"/>
    <w:rsid w:val="00250847"/>
    <w:rsid w:val="002A071C"/>
    <w:rsid w:val="002D34CF"/>
    <w:rsid w:val="002E574C"/>
    <w:rsid w:val="00396353"/>
    <w:rsid w:val="003A73CA"/>
    <w:rsid w:val="003C2D77"/>
    <w:rsid w:val="003C6BA9"/>
    <w:rsid w:val="00405383"/>
    <w:rsid w:val="00412FAE"/>
    <w:rsid w:val="005305F6"/>
    <w:rsid w:val="0057771C"/>
    <w:rsid w:val="005A1001"/>
    <w:rsid w:val="00625EAE"/>
    <w:rsid w:val="00647884"/>
    <w:rsid w:val="0069705D"/>
    <w:rsid w:val="006D163B"/>
    <w:rsid w:val="007B4790"/>
    <w:rsid w:val="0086289B"/>
    <w:rsid w:val="008D62D4"/>
    <w:rsid w:val="008E32CC"/>
    <w:rsid w:val="009124E8"/>
    <w:rsid w:val="009C2AFC"/>
    <w:rsid w:val="00A66F2F"/>
    <w:rsid w:val="00AA1D03"/>
    <w:rsid w:val="00AC6FBB"/>
    <w:rsid w:val="00B5358E"/>
    <w:rsid w:val="00C8286E"/>
    <w:rsid w:val="00CE3BE6"/>
    <w:rsid w:val="00E71DF5"/>
    <w:rsid w:val="00EB0AA0"/>
    <w:rsid w:val="00F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5D39"/>
  <w15:docId w15:val="{D085FEE8-91B2-4614-ADCF-255F13D1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8D62D4"/>
    <w:pPr>
      <w:widowControl w:val="0"/>
      <w:spacing w:after="0" w:line="240" w:lineRule="auto"/>
      <w:ind w:left="434"/>
      <w:outlineLvl w:val="0"/>
    </w:pPr>
    <w:rPr>
      <w:rFonts w:ascii="Bebas Neue Bold" w:eastAsia="Bebas Neue Bold" w:hAnsi="Bebas Neue Bold" w:cs="Times New Roman"/>
      <w:b/>
      <w:bCs/>
      <w:sz w:val="48"/>
      <w:szCs w:val="48"/>
    </w:rPr>
  </w:style>
  <w:style w:type="paragraph" w:styleId="Nadpis3">
    <w:name w:val="heading 3"/>
    <w:basedOn w:val="Normln"/>
    <w:link w:val="Nadpis3Char"/>
    <w:uiPriority w:val="1"/>
    <w:qFormat/>
    <w:rsid w:val="008D62D4"/>
    <w:pPr>
      <w:widowControl w:val="0"/>
      <w:spacing w:after="0" w:line="240" w:lineRule="auto"/>
      <w:ind w:left="453"/>
      <w:outlineLvl w:val="2"/>
    </w:pPr>
    <w:rPr>
      <w:rFonts w:ascii="Calibri" w:eastAsia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8D62D4"/>
    <w:rPr>
      <w:rFonts w:ascii="Bebas Neue Bold" w:eastAsia="Bebas Neue Bold" w:hAnsi="Bebas Neue Bold" w:cs="Times New Roman"/>
      <w:b/>
      <w:bCs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1"/>
    <w:rsid w:val="008D62D4"/>
    <w:rPr>
      <w:rFonts w:ascii="Calibri" w:eastAsia="Calibri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8D62D4"/>
    <w:pPr>
      <w:widowControl w:val="0"/>
      <w:spacing w:before="40" w:after="0" w:line="240" w:lineRule="auto"/>
      <w:ind w:left="453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D62D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1"/>
    <w:qFormat/>
    <w:rsid w:val="008D62D4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ptm.services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5007-05AA-423D-BA1D-A6CBDB1B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5</cp:revision>
  <cp:lastPrinted>2016-02-04T12:24:00Z</cp:lastPrinted>
  <dcterms:created xsi:type="dcterms:W3CDTF">2016-03-14T00:45:00Z</dcterms:created>
  <dcterms:modified xsi:type="dcterms:W3CDTF">2016-07-01T12:11:00Z</dcterms:modified>
</cp:coreProperties>
</file>