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1456" w:rsidRPr="00E36703" w:rsidRDefault="00000000">
      <w:pPr>
        <w:ind w:left="6560"/>
        <w:rPr>
          <w:rFonts w:ascii="Arial" w:eastAsia="Arial" w:hAnsi="Arial" w:cs="Arial"/>
          <w:sz w:val="15"/>
          <w:szCs w:val="15"/>
        </w:rPr>
      </w:pPr>
      <w:r w:rsidRPr="00E36703">
        <w:rPr>
          <w:b/>
          <w:noProof/>
          <w:sz w:val="32"/>
          <w:szCs w:val="32"/>
        </w:rPr>
        <w:drawing>
          <wp:anchor distT="0" distB="0" distL="0" distR="0" simplePos="0" relativeHeight="251658240" behindDoc="1" locked="0" layoutInCell="1" hidden="0" allowOverlap="1">
            <wp:simplePos x="0" y="0"/>
            <wp:positionH relativeFrom="page">
              <wp:posOffset>856614</wp:posOffset>
            </wp:positionH>
            <wp:positionV relativeFrom="page">
              <wp:posOffset>555625</wp:posOffset>
            </wp:positionV>
            <wp:extent cx="1129030" cy="4375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29030" cy="437515"/>
                    </a:xfrm>
                    <a:prstGeom prst="rect">
                      <a:avLst/>
                    </a:prstGeom>
                    <a:ln/>
                  </pic:spPr>
                </pic:pic>
              </a:graphicData>
            </a:graphic>
          </wp:anchor>
        </w:drawing>
      </w:r>
      <w:r w:rsidRPr="00E36703">
        <w:rPr>
          <w:rFonts w:ascii="Arial" w:eastAsia="Arial" w:hAnsi="Arial" w:cs="Arial"/>
          <w:b/>
          <w:sz w:val="28"/>
          <w:szCs w:val="28"/>
        </w:rPr>
        <w:t>PRESS</w:t>
      </w:r>
      <w:r w:rsidRPr="00E36703">
        <w:rPr>
          <w:rFonts w:ascii="Arial" w:eastAsia="Arial" w:hAnsi="Arial" w:cs="Arial"/>
          <w:sz w:val="28"/>
          <w:szCs w:val="28"/>
        </w:rPr>
        <w:t xml:space="preserve"> RELEASE</w:t>
      </w:r>
    </w:p>
    <w:p w:rsidR="009F1456" w:rsidRDefault="009F1456">
      <w:pPr>
        <w:spacing w:line="290" w:lineRule="auto"/>
        <w:rPr>
          <w:rFonts w:ascii="Arial" w:eastAsia="Arial" w:hAnsi="Arial" w:cs="Arial"/>
          <w:sz w:val="24"/>
          <w:szCs w:val="24"/>
        </w:rPr>
      </w:pPr>
    </w:p>
    <w:p w:rsidR="009F1456" w:rsidRDefault="00000000">
      <w:pPr>
        <w:spacing w:line="235" w:lineRule="auto"/>
        <w:jc w:val="center"/>
        <w:rPr>
          <w:rFonts w:ascii="Arial" w:eastAsia="Arial" w:hAnsi="Arial" w:cs="Arial"/>
          <w:sz w:val="20"/>
          <w:szCs w:val="20"/>
        </w:rPr>
      </w:pPr>
      <w:r>
        <w:rPr>
          <w:rFonts w:ascii="Arial" w:eastAsia="Arial" w:hAnsi="Arial" w:cs="Arial"/>
          <w:b/>
          <w:sz w:val="24"/>
          <w:szCs w:val="24"/>
        </w:rPr>
        <w:t>PETROKIMIA GRESIK SUPPORTS THE INDONESIAN ARMY TO USE SLEEPING LAND TO INCREASE AGRICULTURAL PRODUCTIVITY IN NGAWI</w:t>
      </w:r>
    </w:p>
    <w:p w:rsidR="009F1456" w:rsidRDefault="009F1456">
      <w:pPr>
        <w:spacing w:line="276" w:lineRule="auto"/>
        <w:rPr>
          <w:rFonts w:ascii="Arial" w:eastAsia="Arial" w:hAnsi="Arial" w:cs="Arial"/>
          <w:sz w:val="24"/>
          <w:szCs w:val="24"/>
        </w:rPr>
      </w:pPr>
    </w:p>
    <w:p w:rsidR="009F1456" w:rsidRDefault="00000000">
      <w:pPr>
        <w:tabs>
          <w:tab w:val="left" w:pos="1540"/>
        </w:tabs>
        <w:rPr>
          <w:rFonts w:ascii="Arial" w:eastAsia="Arial" w:hAnsi="Arial" w:cs="Arial"/>
        </w:rPr>
      </w:pPr>
      <w:r>
        <w:rPr>
          <w:rFonts w:ascii="Arial" w:eastAsia="Arial" w:hAnsi="Arial" w:cs="Arial"/>
        </w:rPr>
        <w:t>Number</w:t>
      </w:r>
      <w:r>
        <w:rPr>
          <w:rFonts w:ascii="Arial" w:eastAsia="Arial" w:hAnsi="Arial" w:cs="Arial"/>
        </w:rPr>
        <w:tab/>
      </w:r>
      <w:r>
        <w:rPr>
          <w:rFonts w:ascii="Arial" w:eastAsia="Arial" w:hAnsi="Arial" w:cs="Arial"/>
        </w:rPr>
        <w:tab/>
        <w:t>: 54/SP/PG/VIII/2022</w:t>
      </w:r>
    </w:p>
    <w:p w:rsidR="009F1456" w:rsidRDefault="00000000">
      <w:pPr>
        <w:rPr>
          <w:rFonts w:ascii="Arial" w:eastAsia="Arial" w:hAnsi="Arial" w:cs="Arial"/>
        </w:rPr>
      </w:pPr>
      <w:r>
        <w:rPr>
          <w:rFonts w:ascii="Arial" w:eastAsia="Arial" w:hAnsi="Arial" w:cs="Arial"/>
        </w:rPr>
        <w:t>Day / Date</w:t>
      </w:r>
      <w:r>
        <w:rPr>
          <w:rFonts w:ascii="Arial" w:eastAsia="Arial" w:hAnsi="Arial" w:cs="Arial"/>
        </w:rPr>
        <w:tab/>
      </w:r>
      <w:r>
        <w:rPr>
          <w:rFonts w:ascii="Arial" w:eastAsia="Arial" w:hAnsi="Arial" w:cs="Arial"/>
        </w:rPr>
        <w:tab/>
        <w:t>: Tuesday, August 23, 2022</w:t>
      </w:r>
    </w:p>
    <w:p w:rsidR="009F1456" w:rsidRDefault="009F1456">
      <w:pPr>
        <w:spacing w:line="287" w:lineRule="auto"/>
        <w:rPr>
          <w:rFonts w:ascii="Arial" w:eastAsia="Arial" w:hAnsi="Arial" w:cs="Arial"/>
        </w:rPr>
      </w:pPr>
    </w:p>
    <w:p w:rsidR="009F1456" w:rsidRDefault="00000000">
      <w:pPr>
        <w:spacing w:line="237" w:lineRule="auto"/>
        <w:jc w:val="both"/>
        <w:rPr>
          <w:rFonts w:ascii="Arial" w:eastAsia="Arial" w:hAnsi="Arial" w:cs="Arial"/>
          <w:color w:val="0563C1"/>
        </w:rPr>
      </w:pPr>
      <w:hyperlink r:id="rId6">
        <w:r>
          <w:rPr>
            <w:rFonts w:ascii="Arial" w:eastAsia="Arial" w:hAnsi="Arial" w:cs="Arial"/>
          </w:rPr>
          <w:t>Petrokimia Gresik</w:t>
        </w:r>
      </w:hyperlink>
      <w:r>
        <w:rPr>
          <w:rFonts w:ascii="Arial" w:eastAsia="Arial" w:hAnsi="Arial" w:cs="Arial"/>
          <w:color w:val="000000"/>
        </w:rPr>
        <w:t xml:space="preserve"> together with the Indonesian Army use sleeping land to increase agricultural productivity in East Java. This activity was marked by rice planting in Bangunrejo Village</w:t>
      </w:r>
      <w:r>
        <w:rPr>
          <w:rFonts w:ascii="Arial" w:eastAsia="Arial" w:hAnsi="Arial" w:cs="Arial"/>
        </w:rPr>
        <w:t xml:space="preserve">, Kedunggalar District, </w:t>
      </w:r>
      <w:r>
        <w:rPr>
          <w:rFonts w:ascii="Arial" w:eastAsia="Arial" w:hAnsi="Arial" w:cs="Arial"/>
          <w:color w:val="000000"/>
        </w:rPr>
        <w:t>Ngawi Regency, or in the Koramil 0805 / Kedunggalar area, Monday (22/8).</w:t>
      </w:r>
    </w:p>
    <w:p w:rsidR="009F1456" w:rsidRDefault="009F1456">
      <w:pPr>
        <w:spacing w:line="290" w:lineRule="auto"/>
        <w:rPr>
          <w:rFonts w:ascii="Arial" w:eastAsia="Arial" w:hAnsi="Arial" w:cs="Arial"/>
        </w:rPr>
      </w:pPr>
    </w:p>
    <w:p w:rsidR="009F1456" w:rsidRDefault="00000000">
      <w:pPr>
        <w:spacing w:line="238" w:lineRule="auto"/>
        <w:jc w:val="both"/>
        <w:rPr>
          <w:rFonts w:ascii="Arial" w:eastAsia="Arial" w:hAnsi="Arial" w:cs="Arial"/>
        </w:rPr>
      </w:pPr>
      <w:r>
        <w:rPr>
          <w:rFonts w:ascii="Arial" w:eastAsia="Arial" w:hAnsi="Arial" w:cs="Arial"/>
        </w:rPr>
        <w:t>Vice President (VP) of Corporate Communication of Petrokimia Gresik, Rama Yusron Harbiansyah, who was present on behalf of the Board of Directors, said that Petrokimia Gresik as a member of the holding Pupuk Indonesia is ready to support the program of the Army Commander General Dr. Dudung Abdurachman so that the Army ranks use sleeping land in the country to become productive land or agricultural land.</w:t>
      </w:r>
    </w:p>
    <w:p w:rsidR="009F1456" w:rsidRDefault="009F1456">
      <w:pPr>
        <w:spacing w:line="288" w:lineRule="auto"/>
        <w:rPr>
          <w:rFonts w:ascii="Arial" w:eastAsia="Arial" w:hAnsi="Arial" w:cs="Arial"/>
        </w:rPr>
      </w:pPr>
    </w:p>
    <w:p w:rsidR="009F1456" w:rsidRDefault="00000000">
      <w:pPr>
        <w:spacing w:line="236" w:lineRule="auto"/>
        <w:jc w:val="both"/>
        <w:rPr>
          <w:rFonts w:ascii="Arial" w:eastAsia="Arial" w:hAnsi="Arial" w:cs="Arial"/>
        </w:rPr>
      </w:pPr>
      <w:r>
        <w:rPr>
          <w:rFonts w:ascii="Arial" w:eastAsia="Arial" w:hAnsi="Arial" w:cs="Arial"/>
        </w:rPr>
        <w:t>"One of the threats of the food crisis we face today is the continued reduction of agricultural land. The use of this sleeping land is a strategy that we can optimize together to maintain national food security," said Rama.</w:t>
      </w:r>
    </w:p>
    <w:p w:rsidR="009F1456" w:rsidRDefault="009F1456">
      <w:pPr>
        <w:spacing w:line="290" w:lineRule="auto"/>
        <w:rPr>
          <w:rFonts w:ascii="Arial" w:eastAsia="Arial" w:hAnsi="Arial" w:cs="Arial"/>
        </w:rPr>
      </w:pPr>
    </w:p>
    <w:p w:rsidR="009F1456" w:rsidRDefault="00000000">
      <w:pPr>
        <w:spacing w:line="238" w:lineRule="auto"/>
        <w:jc w:val="both"/>
        <w:rPr>
          <w:rFonts w:ascii="Arial" w:eastAsia="Arial" w:hAnsi="Arial" w:cs="Arial"/>
        </w:rPr>
      </w:pPr>
      <w:r>
        <w:rPr>
          <w:rFonts w:ascii="Arial" w:eastAsia="Arial" w:hAnsi="Arial" w:cs="Arial"/>
        </w:rPr>
        <w:t>The area of agricultural land in Ngawi Regency is recorded to continue to decrease from time to time, due to the conversion of land used for housing and infrastructure development. Based on data from the Central Statistics Agency (BPS) Ngawi, productive agricultural land in the local district shrank by 153 hectares in 2021, from the previous 50,868 hectares to 50,715 hectares.</w:t>
      </w:r>
    </w:p>
    <w:p w:rsidR="009F1456" w:rsidRDefault="009F1456">
      <w:pPr>
        <w:spacing w:line="288" w:lineRule="auto"/>
        <w:rPr>
          <w:rFonts w:ascii="Arial" w:eastAsia="Arial" w:hAnsi="Arial" w:cs="Arial"/>
        </w:rPr>
      </w:pPr>
    </w:p>
    <w:p w:rsidR="009F1456" w:rsidRDefault="00000000">
      <w:pPr>
        <w:spacing w:line="236" w:lineRule="auto"/>
        <w:jc w:val="both"/>
        <w:rPr>
          <w:rFonts w:ascii="Arial" w:eastAsia="Arial" w:hAnsi="Arial" w:cs="Arial"/>
        </w:rPr>
      </w:pPr>
      <w:r>
        <w:rPr>
          <w:rFonts w:ascii="Arial" w:eastAsia="Arial" w:hAnsi="Arial" w:cs="Arial"/>
        </w:rPr>
        <w:t>Even though BPS said that Ngawi Regency is the largest rice producer among 38 regencies/cities in East Java. Where the total production in 2021 reached 818.62 thousand tons of Dry Milled Grain (GKG).</w:t>
      </w:r>
    </w:p>
    <w:p w:rsidR="009F1456" w:rsidRDefault="009F1456">
      <w:pPr>
        <w:spacing w:line="290" w:lineRule="auto"/>
        <w:rPr>
          <w:rFonts w:ascii="Arial" w:eastAsia="Arial" w:hAnsi="Arial" w:cs="Arial"/>
        </w:rPr>
      </w:pPr>
    </w:p>
    <w:p w:rsidR="009F1456" w:rsidRDefault="00000000">
      <w:pPr>
        <w:spacing w:line="236" w:lineRule="auto"/>
        <w:jc w:val="both"/>
        <w:rPr>
          <w:rFonts w:ascii="Arial" w:eastAsia="Arial" w:hAnsi="Arial" w:cs="Arial"/>
        </w:rPr>
      </w:pPr>
      <w:r>
        <w:rPr>
          <w:rFonts w:ascii="Arial" w:eastAsia="Arial" w:hAnsi="Arial" w:cs="Arial"/>
        </w:rPr>
        <w:t>"Ngawi as a rice granary in East Java must continue to be maintained, and even its productivity must be increased to maintain national food security," said Rama.</w:t>
      </w:r>
    </w:p>
    <w:p w:rsidR="009F1456" w:rsidRDefault="009F1456">
      <w:pPr>
        <w:spacing w:line="290" w:lineRule="auto"/>
        <w:rPr>
          <w:rFonts w:ascii="Arial" w:eastAsia="Arial" w:hAnsi="Arial" w:cs="Arial"/>
        </w:rPr>
      </w:pPr>
    </w:p>
    <w:p w:rsidR="009F1456" w:rsidRDefault="00000000">
      <w:pPr>
        <w:spacing w:line="238" w:lineRule="auto"/>
        <w:jc w:val="both"/>
        <w:rPr>
          <w:rFonts w:ascii="Arial" w:eastAsia="Arial" w:hAnsi="Arial" w:cs="Arial"/>
        </w:rPr>
      </w:pPr>
      <w:r>
        <w:rPr>
          <w:rFonts w:ascii="Arial" w:eastAsia="Arial" w:hAnsi="Arial" w:cs="Arial"/>
        </w:rPr>
        <w:t xml:space="preserve">Through this collaboration, Petrokimia Gresik contributed to providing fertilizer assistance with a total of 2.3 tons for an area of 4 hectares. The details are Urea fertilizer of as much as 300 kg, Petro ZA Plus 800 kg, and NPK Phonska Plus 1,200 kg. In addition, Petrokimia Gresik also provides a </w:t>
      </w:r>
      <w:proofErr w:type="gramStart"/>
      <w:r>
        <w:rPr>
          <w:rFonts w:ascii="Arial" w:eastAsia="Arial" w:hAnsi="Arial" w:cs="Arial"/>
        </w:rPr>
        <w:t>free soil</w:t>
      </w:r>
      <w:proofErr w:type="gramEnd"/>
      <w:r>
        <w:rPr>
          <w:rFonts w:ascii="Arial" w:eastAsia="Arial" w:hAnsi="Arial" w:cs="Arial"/>
        </w:rPr>
        <w:t xml:space="preserve"> test car service that can be used by local farmers to check the nutrient content in the land, so that the fertilization composition used is precise for optimal results.</w:t>
      </w:r>
    </w:p>
    <w:p w:rsidR="009F1456" w:rsidRDefault="009F1456">
      <w:pPr>
        <w:spacing w:line="290" w:lineRule="auto"/>
        <w:rPr>
          <w:rFonts w:ascii="Arial" w:eastAsia="Arial" w:hAnsi="Arial" w:cs="Arial"/>
        </w:rPr>
      </w:pPr>
    </w:p>
    <w:p w:rsidR="009F1456" w:rsidRDefault="00000000">
      <w:pPr>
        <w:spacing w:line="235" w:lineRule="auto"/>
        <w:ind w:right="20"/>
        <w:jc w:val="both"/>
        <w:rPr>
          <w:rFonts w:ascii="Arial" w:eastAsia="Arial" w:hAnsi="Arial" w:cs="Arial"/>
        </w:rPr>
      </w:pPr>
      <w:r>
        <w:rPr>
          <w:rFonts w:ascii="Arial" w:eastAsia="Arial" w:hAnsi="Arial" w:cs="Arial"/>
        </w:rPr>
        <w:t>"We hope that this program can continue, and Petrokimia Gresik is ready to support with its innovative products," said Rama.</w:t>
      </w:r>
    </w:p>
    <w:p w:rsidR="009F1456" w:rsidRDefault="009F1456">
      <w:pPr>
        <w:spacing w:line="288" w:lineRule="auto"/>
        <w:rPr>
          <w:rFonts w:ascii="Arial" w:eastAsia="Arial" w:hAnsi="Arial" w:cs="Arial"/>
        </w:rPr>
      </w:pPr>
    </w:p>
    <w:p w:rsidR="009F1456" w:rsidRDefault="00000000">
      <w:pPr>
        <w:spacing w:line="237" w:lineRule="auto"/>
        <w:jc w:val="both"/>
        <w:rPr>
          <w:rFonts w:ascii="Arial" w:eastAsia="Arial" w:hAnsi="Arial" w:cs="Arial"/>
        </w:rPr>
        <w:sectPr w:rsidR="009F1456">
          <w:pgSz w:w="11900" w:h="16838"/>
          <w:pgMar w:top="1102" w:right="1366" w:bottom="1440" w:left="1340" w:header="0" w:footer="0" w:gutter="0"/>
          <w:pgNumType w:start="1"/>
          <w:cols w:space="720"/>
        </w:sectPr>
      </w:pPr>
      <w:r>
        <w:rPr>
          <w:rFonts w:ascii="Arial" w:eastAsia="Arial" w:hAnsi="Arial" w:cs="Arial"/>
        </w:rPr>
        <w:t>While giving his speech, Danrem 081/Dsj, Colonel Inf. Deni Rejeki appreciated Petrokimia Gresik's support for this program. He hopes that through the help of quality fertilizers from Petrokimia Gresik, rice productivity will be high.</w:t>
      </w:r>
    </w:p>
    <w:p w:rsidR="009F1456" w:rsidRDefault="00000000">
      <w:pPr>
        <w:ind w:left="6560"/>
        <w:rPr>
          <w:rFonts w:ascii="Arial" w:eastAsia="Arial" w:hAnsi="Arial" w:cs="Arial"/>
          <w:sz w:val="28"/>
          <w:szCs w:val="28"/>
        </w:rPr>
      </w:pPr>
      <w:bookmarkStart w:id="0" w:name="bookmark=id.gjdgxs" w:colFirst="0" w:colLast="0"/>
      <w:bookmarkEnd w:id="0"/>
      <w:r>
        <w:rPr>
          <w:rFonts w:ascii="Arial" w:eastAsia="Arial" w:hAnsi="Arial" w:cs="Arial"/>
          <w:b/>
          <w:noProof/>
        </w:rPr>
        <w:lastRenderedPageBreak/>
        <w:drawing>
          <wp:anchor distT="0" distB="0" distL="0" distR="0" simplePos="0" relativeHeight="251659264" behindDoc="1" locked="0" layoutInCell="1" hidden="0" allowOverlap="1">
            <wp:simplePos x="0" y="0"/>
            <wp:positionH relativeFrom="page">
              <wp:posOffset>856614</wp:posOffset>
            </wp:positionH>
            <wp:positionV relativeFrom="page">
              <wp:posOffset>555625</wp:posOffset>
            </wp:positionV>
            <wp:extent cx="1129030" cy="43751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129030" cy="437515"/>
                    </a:xfrm>
                    <a:prstGeom prst="rect">
                      <a:avLst/>
                    </a:prstGeom>
                    <a:ln/>
                  </pic:spPr>
                </pic:pic>
              </a:graphicData>
            </a:graphic>
          </wp:anchor>
        </w:drawing>
      </w:r>
      <w:r>
        <w:rPr>
          <w:rFonts w:ascii="Arial" w:eastAsia="Arial" w:hAnsi="Arial" w:cs="Arial"/>
          <w:b/>
          <w:sz w:val="28"/>
          <w:szCs w:val="28"/>
        </w:rPr>
        <w:t>PRESS</w:t>
      </w:r>
      <w:r>
        <w:rPr>
          <w:rFonts w:ascii="Arial" w:eastAsia="Arial" w:hAnsi="Arial" w:cs="Arial"/>
          <w:sz w:val="28"/>
          <w:szCs w:val="28"/>
        </w:rPr>
        <w:t xml:space="preserve"> RELEASE</w:t>
      </w:r>
    </w:p>
    <w:p w:rsidR="009F1456" w:rsidRDefault="009F1456">
      <w:pPr>
        <w:spacing w:line="200" w:lineRule="auto"/>
        <w:rPr>
          <w:rFonts w:ascii="Arial" w:eastAsia="Arial" w:hAnsi="Arial" w:cs="Arial"/>
        </w:rPr>
      </w:pPr>
    </w:p>
    <w:p w:rsidR="009F1456" w:rsidRDefault="009F1456">
      <w:pPr>
        <w:spacing w:line="366" w:lineRule="auto"/>
        <w:rPr>
          <w:rFonts w:ascii="Arial" w:eastAsia="Arial" w:hAnsi="Arial" w:cs="Arial"/>
        </w:rPr>
      </w:pPr>
    </w:p>
    <w:p w:rsidR="009F1456" w:rsidRDefault="00000000">
      <w:pPr>
        <w:spacing w:line="237" w:lineRule="auto"/>
        <w:jc w:val="both"/>
        <w:rPr>
          <w:rFonts w:ascii="Arial" w:eastAsia="Arial" w:hAnsi="Arial" w:cs="Arial"/>
        </w:rPr>
      </w:pPr>
      <w:r>
        <w:rPr>
          <w:rFonts w:ascii="Arial" w:eastAsia="Arial" w:hAnsi="Arial" w:cs="Arial"/>
        </w:rPr>
        <w:t>"This collaboration will be the government's solution in overcoming the problem of food crisis both nationally and globally. In addition, it is also a solution for the welfare of society in general. This program is not only for rice crops but also corn and soybeans," he said.</w:t>
      </w:r>
    </w:p>
    <w:p w:rsidR="009F1456" w:rsidRDefault="009F1456">
      <w:pPr>
        <w:spacing w:line="290" w:lineRule="auto"/>
        <w:rPr>
          <w:rFonts w:ascii="Arial" w:eastAsia="Arial" w:hAnsi="Arial" w:cs="Arial"/>
        </w:rPr>
      </w:pPr>
    </w:p>
    <w:p w:rsidR="009F1456" w:rsidRDefault="00000000">
      <w:pPr>
        <w:spacing w:line="236" w:lineRule="auto"/>
        <w:jc w:val="both"/>
        <w:rPr>
          <w:rFonts w:ascii="Arial" w:eastAsia="Arial" w:hAnsi="Arial" w:cs="Arial"/>
        </w:rPr>
      </w:pPr>
      <w:r>
        <w:rPr>
          <w:rFonts w:ascii="Arial" w:eastAsia="Arial" w:hAnsi="Arial" w:cs="Arial"/>
        </w:rPr>
        <w:t>The same thing was also conveyed by the Regent of Ngawi, Ony Anwar Harsono. According to him, to increase agricultural productivity in Ngawi, support from all elements is needed, including Petrokimia Gresik and the Indonesian Army.</w:t>
      </w:r>
    </w:p>
    <w:p w:rsidR="009F1456" w:rsidRDefault="009F1456">
      <w:pPr>
        <w:spacing w:line="290" w:lineRule="auto"/>
        <w:rPr>
          <w:rFonts w:ascii="Arial" w:eastAsia="Arial" w:hAnsi="Arial" w:cs="Arial"/>
        </w:rPr>
      </w:pPr>
    </w:p>
    <w:p w:rsidR="009F1456" w:rsidRDefault="00000000">
      <w:pPr>
        <w:spacing w:line="235" w:lineRule="auto"/>
        <w:jc w:val="both"/>
        <w:rPr>
          <w:rFonts w:ascii="Arial" w:eastAsia="Arial" w:hAnsi="Arial" w:cs="Arial"/>
        </w:rPr>
      </w:pPr>
      <w:r>
        <w:rPr>
          <w:rFonts w:ascii="Arial" w:eastAsia="Arial" w:hAnsi="Arial" w:cs="Arial"/>
        </w:rPr>
        <w:t>"Hopefully, through this joint commitment, we can ensure Ngawi as a national rice granary and number one in East Java," said the Regent.</w:t>
      </w:r>
    </w:p>
    <w:p w:rsidR="009F1456" w:rsidRDefault="009F1456">
      <w:pPr>
        <w:spacing w:line="288" w:lineRule="auto"/>
        <w:rPr>
          <w:rFonts w:ascii="Arial" w:eastAsia="Arial" w:hAnsi="Arial" w:cs="Arial"/>
        </w:rPr>
      </w:pPr>
    </w:p>
    <w:p w:rsidR="009F1456" w:rsidRDefault="00000000">
      <w:pPr>
        <w:spacing w:line="237" w:lineRule="auto"/>
        <w:jc w:val="both"/>
        <w:rPr>
          <w:rFonts w:ascii="Arial" w:eastAsia="Arial" w:hAnsi="Arial" w:cs="Arial"/>
        </w:rPr>
      </w:pPr>
      <w:r>
        <w:rPr>
          <w:rFonts w:ascii="Arial" w:eastAsia="Arial" w:hAnsi="Arial" w:cs="Arial"/>
        </w:rPr>
        <w:t>In addition to Ngawi, Petrokimia Gresik's support for the sleeping land use program by the Indonesian Army was previously also carried out on an area of 1 hectare in Mentaras Village, Dukun District, Gresik Regency which was then used for the cultivation of corn commodities.</w:t>
      </w:r>
    </w:p>
    <w:p w:rsidR="009F1456" w:rsidRDefault="009F1456">
      <w:pPr>
        <w:spacing w:line="290" w:lineRule="auto"/>
        <w:rPr>
          <w:rFonts w:ascii="Arial" w:eastAsia="Arial" w:hAnsi="Arial" w:cs="Arial"/>
        </w:rPr>
      </w:pPr>
    </w:p>
    <w:p w:rsidR="009F1456" w:rsidRDefault="00000000">
      <w:pPr>
        <w:spacing w:line="237" w:lineRule="auto"/>
        <w:ind w:right="20"/>
        <w:jc w:val="both"/>
        <w:rPr>
          <w:rFonts w:ascii="Arial" w:eastAsia="Arial" w:hAnsi="Arial" w:cs="Arial"/>
        </w:rPr>
      </w:pPr>
      <w:r>
        <w:rPr>
          <w:rFonts w:ascii="Arial" w:eastAsia="Arial" w:hAnsi="Arial" w:cs="Arial"/>
        </w:rPr>
        <w:t>"This program is in line with the agricultural productivity improvement program run by Petrokimia Gresik, such as Makmur, demonstration plots</w:t>
      </w:r>
      <w:r>
        <w:rPr>
          <w:rFonts w:ascii="Arial" w:eastAsia="Arial" w:hAnsi="Arial" w:cs="Arial"/>
          <w:i/>
        </w:rPr>
        <w:t>,</w:t>
      </w:r>
      <w:r>
        <w:rPr>
          <w:rFonts w:ascii="Arial" w:eastAsia="Arial" w:hAnsi="Arial" w:cs="Arial"/>
        </w:rPr>
        <w:t xml:space="preserve"> and other programs which in essence aim to maintain national food security and the welfare of farmers," concluded Rama.</w:t>
      </w:r>
    </w:p>
    <w:p w:rsidR="009F1456" w:rsidRDefault="009F1456">
      <w:pPr>
        <w:spacing w:line="200" w:lineRule="auto"/>
        <w:rPr>
          <w:rFonts w:ascii="Arial" w:eastAsia="Arial" w:hAnsi="Arial" w:cs="Arial"/>
        </w:rPr>
      </w:pPr>
    </w:p>
    <w:p w:rsidR="009F1456" w:rsidRDefault="009F1456">
      <w:pPr>
        <w:spacing w:line="200" w:lineRule="auto"/>
        <w:rPr>
          <w:rFonts w:ascii="Arial" w:eastAsia="Arial" w:hAnsi="Arial" w:cs="Arial"/>
        </w:rPr>
      </w:pPr>
    </w:p>
    <w:p w:rsidR="009F1456" w:rsidRDefault="009F1456">
      <w:pPr>
        <w:spacing w:line="200" w:lineRule="auto"/>
        <w:rPr>
          <w:rFonts w:ascii="Arial" w:eastAsia="Arial" w:hAnsi="Arial" w:cs="Arial"/>
        </w:rPr>
      </w:pPr>
    </w:p>
    <w:p w:rsidR="009F1456" w:rsidRDefault="009F1456">
      <w:pPr>
        <w:spacing w:line="231" w:lineRule="auto"/>
        <w:rPr>
          <w:rFonts w:ascii="Arial" w:eastAsia="Arial" w:hAnsi="Arial" w:cs="Arial"/>
        </w:rPr>
      </w:pPr>
    </w:p>
    <w:tbl>
      <w:tblPr>
        <w:tblStyle w:val="a"/>
        <w:tblW w:w="8980" w:type="dxa"/>
        <w:tblLayout w:type="fixed"/>
        <w:tblLook w:val="0400" w:firstRow="0" w:lastRow="0" w:firstColumn="0" w:lastColumn="0" w:noHBand="0" w:noVBand="1"/>
      </w:tblPr>
      <w:tblGrid>
        <w:gridCol w:w="3460"/>
        <w:gridCol w:w="1560"/>
        <w:gridCol w:w="360"/>
        <w:gridCol w:w="3600"/>
      </w:tblGrid>
      <w:tr w:rsidR="009F1456">
        <w:trPr>
          <w:trHeight w:val="253"/>
        </w:trPr>
        <w:tc>
          <w:tcPr>
            <w:tcW w:w="3460" w:type="dxa"/>
            <w:vAlign w:val="bottom"/>
          </w:tcPr>
          <w:p w:rsidR="009F1456" w:rsidRDefault="00000000">
            <w:pPr>
              <w:rPr>
                <w:rFonts w:ascii="Arial" w:eastAsia="Arial" w:hAnsi="Arial" w:cs="Arial"/>
              </w:rPr>
            </w:pPr>
            <w:r>
              <w:rPr>
                <w:rFonts w:ascii="Arial" w:eastAsia="Arial" w:hAnsi="Arial" w:cs="Arial"/>
              </w:rPr>
              <w:t>PT Petrokimia Gresik</w:t>
            </w:r>
          </w:p>
        </w:tc>
        <w:tc>
          <w:tcPr>
            <w:tcW w:w="5520" w:type="dxa"/>
            <w:gridSpan w:val="3"/>
            <w:vAlign w:val="bottom"/>
          </w:tcPr>
          <w:p w:rsidR="009F1456" w:rsidRDefault="00000000">
            <w:pPr>
              <w:ind w:left="660"/>
              <w:rPr>
                <w:rFonts w:ascii="Arial" w:eastAsia="Arial" w:hAnsi="Arial" w:cs="Arial"/>
              </w:rPr>
            </w:pPr>
            <w:r>
              <w:rPr>
                <w:rFonts w:ascii="Arial" w:eastAsia="Arial" w:hAnsi="Arial" w:cs="Arial"/>
              </w:rPr>
              <w:t>For further information contact:</w:t>
            </w:r>
          </w:p>
        </w:tc>
      </w:tr>
      <w:tr w:rsidR="009F1456">
        <w:trPr>
          <w:trHeight w:val="252"/>
        </w:trPr>
        <w:tc>
          <w:tcPr>
            <w:tcW w:w="3460" w:type="dxa"/>
            <w:vAlign w:val="bottom"/>
          </w:tcPr>
          <w:p w:rsidR="009F1456" w:rsidRDefault="009F1456">
            <w:pPr>
              <w:rPr>
                <w:rFonts w:ascii="Arial" w:eastAsia="Arial" w:hAnsi="Arial" w:cs="Arial"/>
              </w:rPr>
            </w:pPr>
          </w:p>
        </w:tc>
        <w:tc>
          <w:tcPr>
            <w:tcW w:w="5520" w:type="dxa"/>
            <w:gridSpan w:val="3"/>
            <w:vAlign w:val="bottom"/>
          </w:tcPr>
          <w:p w:rsidR="009F1456" w:rsidRDefault="00000000">
            <w:pPr>
              <w:ind w:left="660"/>
              <w:rPr>
                <w:rFonts w:ascii="Arial" w:eastAsia="Arial" w:hAnsi="Arial" w:cs="Arial"/>
              </w:rPr>
            </w:pPr>
            <w:r>
              <w:rPr>
                <w:rFonts w:ascii="Arial" w:eastAsia="Arial" w:hAnsi="Arial" w:cs="Arial"/>
              </w:rPr>
              <w:t xml:space="preserve">Corporate </w:t>
            </w:r>
            <w:proofErr w:type="gramStart"/>
            <w:r>
              <w:rPr>
                <w:rFonts w:ascii="Arial" w:eastAsia="Arial" w:hAnsi="Arial" w:cs="Arial"/>
              </w:rPr>
              <w:t>Secretary :</w:t>
            </w:r>
            <w:proofErr w:type="gramEnd"/>
            <w:r>
              <w:rPr>
                <w:rFonts w:ascii="Arial" w:eastAsia="Arial" w:hAnsi="Arial" w:cs="Arial"/>
              </w:rPr>
              <w:t xml:space="preserve"> Yusuf Wibisono</w:t>
            </w:r>
          </w:p>
        </w:tc>
      </w:tr>
      <w:tr w:rsidR="009F1456">
        <w:trPr>
          <w:trHeight w:val="254"/>
        </w:trPr>
        <w:tc>
          <w:tcPr>
            <w:tcW w:w="3460" w:type="dxa"/>
            <w:vAlign w:val="bottom"/>
          </w:tcPr>
          <w:p w:rsidR="009F1456" w:rsidRDefault="009F1456">
            <w:pPr>
              <w:rPr>
                <w:rFonts w:ascii="Arial" w:eastAsia="Arial" w:hAnsi="Arial" w:cs="Arial"/>
              </w:rPr>
            </w:pPr>
          </w:p>
        </w:tc>
        <w:tc>
          <w:tcPr>
            <w:tcW w:w="1560" w:type="dxa"/>
            <w:vAlign w:val="bottom"/>
          </w:tcPr>
          <w:p w:rsidR="009F1456" w:rsidRDefault="00000000">
            <w:pPr>
              <w:ind w:left="660"/>
              <w:rPr>
                <w:rFonts w:ascii="Arial" w:eastAsia="Arial" w:hAnsi="Arial" w:cs="Arial"/>
              </w:rPr>
            </w:pPr>
            <w:r>
              <w:rPr>
                <w:rFonts w:ascii="Arial" w:eastAsia="Arial" w:hAnsi="Arial" w:cs="Arial"/>
              </w:rPr>
              <w:t>Office</w:t>
            </w:r>
          </w:p>
        </w:tc>
        <w:tc>
          <w:tcPr>
            <w:tcW w:w="3960" w:type="dxa"/>
            <w:gridSpan w:val="2"/>
            <w:vAlign w:val="bottom"/>
          </w:tcPr>
          <w:p w:rsidR="009F1456" w:rsidRDefault="00000000">
            <w:pPr>
              <w:ind w:right="630"/>
              <w:jc w:val="right"/>
              <w:rPr>
                <w:rFonts w:ascii="Arial" w:eastAsia="Arial" w:hAnsi="Arial" w:cs="Arial"/>
              </w:rPr>
            </w:pPr>
            <w:r>
              <w:rPr>
                <w:rFonts w:ascii="Arial" w:eastAsia="Arial" w:hAnsi="Arial" w:cs="Arial"/>
              </w:rPr>
              <w:t>: (031) 3981811</w:t>
            </w:r>
          </w:p>
        </w:tc>
      </w:tr>
      <w:tr w:rsidR="009F1456">
        <w:trPr>
          <w:trHeight w:val="252"/>
        </w:trPr>
        <w:tc>
          <w:tcPr>
            <w:tcW w:w="3460" w:type="dxa"/>
            <w:vAlign w:val="bottom"/>
          </w:tcPr>
          <w:p w:rsidR="009F1456" w:rsidRDefault="009F1456">
            <w:pPr>
              <w:rPr>
                <w:rFonts w:ascii="Arial" w:eastAsia="Arial" w:hAnsi="Arial" w:cs="Arial"/>
              </w:rPr>
            </w:pPr>
          </w:p>
        </w:tc>
        <w:tc>
          <w:tcPr>
            <w:tcW w:w="1560" w:type="dxa"/>
            <w:vAlign w:val="bottom"/>
          </w:tcPr>
          <w:p w:rsidR="009F1456" w:rsidRDefault="009F1456">
            <w:pPr>
              <w:rPr>
                <w:rFonts w:ascii="Arial" w:eastAsia="Arial" w:hAnsi="Arial" w:cs="Arial"/>
              </w:rPr>
            </w:pPr>
          </w:p>
        </w:tc>
        <w:tc>
          <w:tcPr>
            <w:tcW w:w="360" w:type="dxa"/>
            <w:vAlign w:val="bottom"/>
          </w:tcPr>
          <w:p w:rsidR="009F1456" w:rsidRDefault="009F1456">
            <w:pPr>
              <w:rPr>
                <w:rFonts w:ascii="Arial" w:eastAsia="Arial" w:hAnsi="Arial" w:cs="Arial"/>
              </w:rPr>
            </w:pPr>
          </w:p>
        </w:tc>
        <w:tc>
          <w:tcPr>
            <w:tcW w:w="3600" w:type="dxa"/>
            <w:vAlign w:val="bottom"/>
          </w:tcPr>
          <w:p w:rsidR="009F1456" w:rsidRDefault="00000000">
            <w:pPr>
              <w:ind w:right="1130"/>
              <w:jc w:val="right"/>
              <w:rPr>
                <w:rFonts w:ascii="Arial" w:eastAsia="Arial" w:hAnsi="Arial" w:cs="Arial"/>
              </w:rPr>
            </w:pPr>
            <w:r>
              <w:rPr>
                <w:rFonts w:ascii="Arial" w:eastAsia="Arial" w:hAnsi="Arial" w:cs="Arial"/>
              </w:rPr>
              <w:t>Ext. 2152</w:t>
            </w:r>
          </w:p>
        </w:tc>
      </w:tr>
      <w:tr w:rsidR="009F1456">
        <w:trPr>
          <w:trHeight w:val="232"/>
        </w:trPr>
        <w:tc>
          <w:tcPr>
            <w:tcW w:w="3460" w:type="dxa"/>
            <w:vAlign w:val="bottom"/>
          </w:tcPr>
          <w:p w:rsidR="009F1456" w:rsidRDefault="00000000">
            <w:pPr>
              <w:spacing w:line="232" w:lineRule="auto"/>
              <w:rPr>
                <w:rFonts w:ascii="Arial" w:eastAsia="Arial" w:hAnsi="Arial" w:cs="Arial"/>
              </w:rPr>
            </w:pPr>
            <w:r>
              <w:rPr>
                <w:rFonts w:ascii="Arial" w:eastAsia="Arial" w:hAnsi="Arial" w:cs="Arial"/>
                <w:b/>
              </w:rPr>
              <w:t>Rama Yusron Harbiansyah</w:t>
            </w:r>
          </w:p>
        </w:tc>
        <w:tc>
          <w:tcPr>
            <w:tcW w:w="1560" w:type="dxa"/>
            <w:vAlign w:val="bottom"/>
          </w:tcPr>
          <w:p w:rsidR="009F1456" w:rsidRDefault="00000000">
            <w:pPr>
              <w:spacing w:line="232" w:lineRule="auto"/>
              <w:ind w:left="660"/>
              <w:rPr>
                <w:rFonts w:ascii="Arial" w:eastAsia="Arial" w:hAnsi="Arial" w:cs="Arial"/>
              </w:rPr>
            </w:pPr>
            <w:r>
              <w:rPr>
                <w:rFonts w:ascii="Arial" w:eastAsia="Arial" w:hAnsi="Arial" w:cs="Arial"/>
              </w:rPr>
              <w:t>Email</w:t>
            </w:r>
          </w:p>
        </w:tc>
        <w:tc>
          <w:tcPr>
            <w:tcW w:w="3960" w:type="dxa"/>
            <w:gridSpan w:val="2"/>
            <w:vAlign w:val="bottom"/>
          </w:tcPr>
          <w:p w:rsidR="009F1456" w:rsidRDefault="00000000">
            <w:pPr>
              <w:spacing w:line="232" w:lineRule="auto"/>
              <w:jc w:val="right"/>
              <w:rPr>
                <w:rFonts w:ascii="Arial" w:eastAsia="Arial" w:hAnsi="Arial" w:cs="Arial"/>
              </w:rPr>
            </w:pPr>
            <w:r>
              <w:rPr>
                <w:rFonts w:ascii="Arial" w:eastAsia="Arial" w:hAnsi="Arial" w:cs="Arial"/>
              </w:rPr>
              <w:t xml:space="preserve">: </w:t>
            </w:r>
            <w:hyperlink r:id="rId7">
              <w:r>
                <w:rPr>
                  <w:rFonts w:ascii="Arial" w:eastAsia="Arial" w:hAnsi="Arial" w:cs="Arial"/>
                </w:rPr>
                <w:t>rama.yusron@petrokimia-gresik.com</w:t>
              </w:r>
            </w:hyperlink>
          </w:p>
        </w:tc>
      </w:tr>
      <w:tr w:rsidR="009F1456">
        <w:trPr>
          <w:trHeight w:val="254"/>
        </w:trPr>
        <w:tc>
          <w:tcPr>
            <w:tcW w:w="3460" w:type="dxa"/>
            <w:vAlign w:val="bottom"/>
          </w:tcPr>
          <w:p w:rsidR="009F1456" w:rsidRDefault="00000000">
            <w:pPr>
              <w:ind w:left="20"/>
              <w:rPr>
                <w:rFonts w:ascii="Arial" w:eastAsia="Arial" w:hAnsi="Arial" w:cs="Arial"/>
              </w:rPr>
            </w:pPr>
            <w:r>
              <w:rPr>
                <w:rFonts w:ascii="Arial" w:eastAsia="Arial" w:hAnsi="Arial" w:cs="Arial"/>
              </w:rPr>
              <w:t>VP of Corporate Communications</w:t>
            </w:r>
          </w:p>
        </w:tc>
        <w:tc>
          <w:tcPr>
            <w:tcW w:w="1560" w:type="dxa"/>
            <w:vAlign w:val="bottom"/>
          </w:tcPr>
          <w:p w:rsidR="009F1456" w:rsidRDefault="009F1456">
            <w:pPr>
              <w:rPr>
                <w:rFonts w:ascii="Arial" w:eastAsia="Arial" w:hAnsi="Arial" w:cs="Arial"/>
              </w:rPr>
            </w:pPr>
          </w:p>
        </w:tc>
        <w:tc>
          <w:tcPr>
            <w:tcW w:w="360" w:type="dxa"/>
            <w:vAlign w:val="bottom"/>
          </w:tcPr>
          <w:p w:rsidR="009F1456" w:rsidRDefault="009F1456">
            <w:pPr>
              <w:rPr>
                <w:rFonts w:ascii="Arial" w:eastAsia="Arial" w:hAnsi="Arial" w:cs="Arial"/>
              </w:rPr>
            </w:pPr>
          </w:p>
        </w:tc>
        <w:tc>
          <w:tcPr>
            <w:tcW w:w="3600" w:type="dxa"/>
            <w:tcBorders>
              <w:top w:val="single" w:sz="8" w:space="0" w:color="0563C1"/>
            </w:tcBorders>
            <w:vAlign w:val="bottom"/>
          </w:tcPr>
          <w:p w:rsidR="009F1456" w:rsidRDefault="009F1456">
            <w:pPr>
              <w:rPr>
                <w:rFonts w:ascii="Arial" w:eastAsia="Arial" w:hAnsi="Arial" w:cs="Arial"/>
              </w:rPr>
            </w:pPr>
          </w:p>
        </w:tc>
      </w:tr>
    </w:tbl>
    <w:p w:rsidR="009F1456" w:rsidRDefault="009F1456">
      <w:pPr>
        <w:spacing w:line="14" w:lineRule="auto"/>
        <w:rPr>
          <w:rFonts w:ascii="Arial" w:eastAsia="Arial" w:hAnsi="Arial" w:cs="Arial"/>
          <w:sz w:val="20"/>
          <w:szCs w:val="20"/>
        </w:rPr>
      </w:pPr>
    </w:p>
    <w:sectPr w:rsidR="009F1456">
      <w:pgSz w:w="11900" w:h="16838"/>
      <w:pgMar w:top="1102" w:right="1366" w:bottom="1440" w:left="13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56"/>
    <w:rsid w:val="009F1456"/>
    <w:rsid w:val="00E367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docId w15:val="{2103F26D-25A5-0F46-917F-8915FD18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D36101"/>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ma.yusron@petrokimia-gresi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etrokimia-gresik.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GYuM1bhS1AKqdHBcGJWsZKsAxA==">AMUW2mVpFBFw3yZQQwJLY1UmEAdfAO+rF/RJ0GHU6xNxolWLuOWHta/Hy/yl0ihUKnpyLHC3LQOwzsBpES1eDQiqWrP644FR4dx+HoN84VCI5AH+Jh99zMBhtoPuPfDsfBGXM8xvvzQL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cp:revision>
  <dcterms:created xsi:type="dcterms:W3CDTF">2023-01-25T07:34:00Z</dcterms:created>
  <dcterms:modified xsi:type="dcterms:W3CDTF">2023-01-25T07:34:00Z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c799d704-cac5-47e4-93a6-e7a7faac90e5</vt:lpwstr>
  </property>
</Properties>
</file>