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B3" w:rsidRPr="00621528" w:rsidRDefault="004C594D" w:rsidP="00BE6FA3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621528">
        <w:rPr>
          <w:rFonts w:ascii="Century Schoolbook" w:hAnsi="Century Schoolbook"/>
          <w:b/>
          <w:sz w:val="24"/>
          <w:szCs w:val="24"/>
          <w:u w:val="single"/>
        </w:rPr>
        <w:t>Rules to Remember</w:t>
      </w:r>
    </w:p>
    <w:p w:rsidR="00BE6FA3" w:rsidRPr="009C79E6" w:rsidRDefault="001C105E" w:rsidP="00BE6FA3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9C79E6">
        <w:rPr>
          <w:rFonts w:ascii="Century Schoolbook" w:hAnsi="Century Schoolbook"/>
          <w:b/>
          <w:sz w:val="24"/>
          <w:szCs w:val="24"/>
        </w:rPr>
        <w:t>M</w:t>
      </w:r>
      <w:r w:rsidR="00BE6FA3" w:rsidRPr="009C79E6">
        <w:rPr>
          <w:rFonts w:ascii="Century Schoolbook" w:hAnsi="Century Schoolbook"/>
          <w:b/>
          <w:sz w:val="24"/>
          <w:szCs w:val="24"/>
        </w:rPr>
        <w:t>atch instruction</w:t>
      </w:r>
      <w:r w:rsidRPr="009C79E6">
        <w:rPr>
          <w:rFonts w:ascii="Century Schoolbook" w:hAnsi="Century Schoolbook"/>
          <w:b/>
          <w:sz w:val="24"/>
          <w:szCs w:val="24"/>
        </w:rPr>
        <w:t>s</w:t>
      </w:r>
      <w:r w:rsidR="00BE6FA3" w:rsidRPr="009C79E6">
        <w:rPr>
          <w:rFonts w:ascii="Century Schoolbook" w:hAnsi="Century Schoolbook"/>
          <w:b/>
          <w:sz w:val="24"/>
          <w:szCs w:val="24"/>
        </w:rPr>
        <w:t xml:space="preserve"> to the complaint</w:t>
      </w:r>
      <w:r w:rsidRPr="009C79E6">
        <w:rPr>
          <w:rFonts w:ascii="Century Schoolbook" w:hAnsi="Century Schoolbook"/>
          <w:b/>
          <w:sz w:val="24"/>
          <w:szCs w:val="24"/>
        </w:rPr>
        <w:t>.</w:t>
      </w:r>
      <w:r w:rsidR="00725814">
        <w:rPr>
          <w:rFonts w:ascii="Century Schoolbook" w:hAnsi="Century Schoolbook"/>
          <w:b/>
          <w:sz w:val="24"/>
          <w:szCs w:val="24"/>
        </w:rPr>
        <w:t xml:space="preserve">  Double-check your complaint before a plea or </w:t>
      </w:r>
      <w:r w:rsidR="004C4342">
        <w:rPr>
          <w:rFonts w:ascii="Century Schoolbook" w:hAnsi="Century Schoolbook"/>
          <w:b/>
          <w:sz w:val="24"/>
          <w:szCs w:val="24"/>
        </w:rPr>
        <w:t>when drafting</w:t>
      </w:r>
      <w:r w:rsidR="00725814">
        <w:rPr>
          <w:rFonts w:ascii="Century Schoolbook" w:hAnsi="Century Schoolbook"/>
          <w:b/>
          <w:sz w:val="24"/>
          <w:szCs w:val="24"/>
        </w:rPr>
        <w:t xml:space="preserve"> jury instructions.</w:t>
      </w:r>
    </w:p>
    <w:p w:rsidR="007342E6" w:rsidRPr="009C79E6" w:rsidRDefault="007342E6" w:rsidP="00BE6FA3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9C79E6">
        <w:rPr>
          <w:rFonts w:ascii="Century Schoolbook" w:hAnsi="Century Schoolbook"/>
          <w:b/>
          <w:sz w:val="24"/>
          <w:szCs w:val="24"/>
        </w:rPr>
        <w:t xml:space="preserve">Pay attention to </w:t>
      </w:r>
      <w:r w:rsidR="009650EE">
        <w:rPr>
          <w:rFonts w:ascii="Century Schoolbook" w:hAnsi="Century Schoolbook"/>
          <w:b/>
          <w:sz w:val="24"/>
          <w:szCs w:val="24"/>
        </w:rPr>
        <w:t>“</w:t>
      </w:r>
      <w:r w:rsidRPr="009C79E6">
        <w:rPr>
          <w:rFonts w:ascii="Century Schoolbook" w:hAnsi="Century Schoolbook"/>
          <w:b/>
          <w:sz w:val="24"/>
          <w:szCs w:val="24"/>
        </w:rPr>
        <w:t>and</w:t>
      </w:r>
      <w:r w:rsidR="009650EE">
        <w:rPr>
          <w:rFonts w:ascii="Century Schoolbook" w:hAnsi="Century Schoolbook"/>
          <w:b/>
          <w:sz w:val="24"/>
          <w:szCs w:val="24"/>
        </w:rPr>
        <w:t>”</w:t>
      </w:r>
      <w:r w:rsidRPr="009C79E6">
        <w:rPr>
          <w:rFonts w:ascii="Century Schoolbook" w:hAnsi="Century Schoolbook"/>
          <w:b/>
          <w:sz w:val="24"/>
          <w:szCs w:val="24"/>
        </w:rPr>
        <w:t xml:space="preserve"> versus </w:t>
      </w:r>
      <w:r w:rsidR="009650EE">
        <w:rPr>
          <w:rFonts w:ascii="Century Schoolbook" w:hAnsi="Century Schoolbook"/>
          <w:b/>
          <w:sz w:val="24"/>
          <w:szCs w:val="24"/>
        </w:rPr>
        <w:t>“</w:t>
      </w:r>
      <w:r w:rsidRPr="009C79E6">
        <w:rPr>
          <w:rFonts w:ascii="Century Schoolbook" w:hAnsi="Century Schoolbook"/>
          <w:b/>
          <w:sz w:val="24"/>
          <w:szCs w:val="24"/>
        </w:rPr>
        <w:t>or</w:t>
      </w:r>
      <w:r w:rsidR="009650EE">
        <w:rPr>
          <w:rFonts w:ascii="Century Schoolbook" w:hAnsi="Century Schoolbook"/>
          <w:b/>
          <w:sz w:val="24"/>
          <w:szCs w:val="24"/>
        </w:rPr>
        <w:t>” since</w:t>
      </w:r>
      <w:r w:rsidRPr="009C79E6">
        <w:rPr>
          <w:rFonts w:ascii="Century Schoolbook" w:hAnsi="Century Schoolbook"/>
          <w:b/>
          <w:sz w:val="24"/>
          <w:szCs w:val="24"/>
        </w:rPr>
        <w:t xml:space="preserve"> they do not mean the same thing.  </w:t>
      </w:r>
    </w:p>
    <w:p w:rsidR="007342E6" w:rsidRDefault="007342E6" w:rsidP="007342E6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And means </w:t>
      </w:r>
      <w:r w:rsidR="00A11957">
        <w:rPr>
          <w:rFonts w:ascii="Century Schoolbook" w:hAnsi="Century Schoolbook"/>
          <w:sz w:val="24"/>
          <w:szCs w:val="24"/>
        </w:rPr>
        <w:t xml:space="preserve">both or </w:t>
      </w:r>
      <w:r>
        <w:rPr>
          <w:rFonts w:ascii="Century Schoolbook" w:hAnsi="Century Schoolbook"/>
          <w:sz w:val="24"/>
          <w:szCs w:val="24"/>
        </w:rPr>
        <w:t xml:space="preserve">all.  Or means </w:t>
      </w:r>
      <w:r w:rsidR="00A11957">
        <w:rPr>
          <w:rFonts w:ascii="Century Schoolbook" w:hAnsi="Century Schoolbook"/>
          <w:sz w:val="24"/>
          <w:szCs w:val="24"/>
        </w:rPr>
        <w:t>at least one of the options</w:t>
      </w:r>
      <w:r>
        <w:rPr>
          <w:rFonts w:ascii="Century Schoolbook" w:hAnsi="Century Schoolbook"/>
          <w:sz w:val="24"/>
          <w:szCs w:val="24"/>
        </w:rPr>
        <w:t>.</w:t>
      </w:r>
    </w:p>
    <w:p w:rsidR="00BE6FA3" w:rsidRPr="009C79E6" w:rsidRDefault="001C105E" w:rsidP="00BE6FA3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9C79E6">
        <w:rPr>
          <w:rFonts w:ascii="Century Schoolbook" w:hAnsi="Century Schoolbook"/>
          <w:b/>
          <w:sz w:val="24"/>
          <w:szCs w:val="24"/>
        </w:rPr>
        <w:t>Gi</w:t>
      </w:r>
      <w:r w:rsidR="00BE6FA3" w:rsidRPr="009C79E6">
        <w:rPr>
          <w:rFonts w:ascii="Century Schoolbook" w:hAnsi="Century Schoolbook"/>
          <w:b/>
          <w:sz w:val="24"/>
          <w:szCs w:val="24"/>
        </w:rPr>
        <w:t xml:space="preserve">ve a </w:t>
      </w:r>
      <w:r w:rsidR="00A11957" w:rsidRPr="009C79E6">
        <w:rPr>
          <w:rFonts w:ascii="Century Schoolbook" w:hAnsi="Century Schoolbook"/>
          <w:b/>
          <w:sz w:val="24"/>
          <w:szCs w:val="24"/>
        </w:rPr>
        <w:t>multiple acts unanimity</w:t>
      </w:r>
      <w:r w:rsidR="00BE6FA3" w:rsidRPr="009C79E6">
        <w:rPr>
          <w:rFonts w:ascii="Century Schoolbook" w:hAnsi="Century Schoolbook"/>
          <w:b/>
          <w:sz w:val="24"/>
          <w:szCs w:val="24"/>
        </w:rPr>
        <w:t xml:space="preserve"> instruction</w:t>
      </w:r>
      <w:r w:rsidRPr="009C79E6">
        <w:rPr>
          <w:rFonts w:ascii="Century Schoolbook" w:hAnsi="Century Schoolbook"/>
          <w:b/>
          <w:sz w:val="24"/>
          <w:szCs w:val="24"/>
        </w:rPr>
        <w:t xml:space="preserve"> in multiple acts cases.</w:t>
      </w:r>
    </w:p>
    <w:p w:rsidR="00B74AD0" w:rsidRPr="00B74AD0" w:rsidRDefault="009C79E6" w:rsidP="000E0B30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B74AD0">
        <w:rPr>
          <w:rFonts w:ascii="Century Schoolbook" w:hAnsi="Century Schoolbook"/>
          <w:sz w:val="24"/>
          <w:szCs w:val="24"/>
        </w:rPr>
        <w:t xml:space="preserve">The failure to </w:t>
      </w:r>
      <w:r w:rsidR="00B74AD0" w:rsidRPr="00B74AD0">
        <w:rPr>
          <w:rFonts w:ascii="Century Schoolbook" w:hAnsi="Century Schoolbook"/>
          <w:sz w:val="24"/>
          <w:szCs w:val="24"/>
        </w:rPr>
        <w:t>tell the jury which act to rely on is error</w:t>
      </w:r>
      <w:r w:rsidRPr="00B74AD0">
        <w:rPr>
          <w:rFonts w:ascii="Century Schoolbook" w:hAnsi="Century Schoolbook"/>
          <w:sz w:val="24"/>
          <w:szCs w:val="24"/>
        </w:rPr>
        <w:t xml:space="preserve">.  </w:t>
      </w:r>
      <w:r w:rsidR="00B74AD0" w:rsidRPr="00B74AD0">
        <w:rPr>
          <w:rFonts w:ascii="Century Schoolbook" w:hAnsi="Century Schoolbook"/>
          <w:i/>
          <w:sz w:val="24"/>
          <w:szCs w:val="24"/>
        </w:rPr>
        <w:t>State v. Smith</w:t>
      </w:r>
      <w:r w:rsidR="00B74AD0" w:rsidRPr="00B74AD0">
        <w:rPr>
          <w:rFonts w:ascii="Century Schoolbook" w:hAnsi="Century Schoolbook"/>
          <w:sz w:val="24"/>
          <w:szCs w:val="24"/>
        </w:rPr>
        <w:t>, 317 Kan. 130, 136, 526 P.3d 1047 (2023).</w:t>
      </w:r>
    </w:p>
    <w:p w:rsidR="00BE6FA3" w:rsidRPr="009C79E6" w:rsidRDefault="001C105E" w:rsidP="00BE6FA3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9C79E6">
        <w:rPr>
          <w:rFonts w:ascii="Century Schoolbook" w:hAnsi="Century Schoolbook"/>
          <w:b/>
          <w:sz w:val="24"/>
          <w:szCs w:val="24"/>
        </w:rPr>
        <w:t>Use the</w:t>
      </w:r>
      <w:r w:rsidR="00BE6FA3" w:rsidRPr="009C79E6">
        <w:rPr>
          <w:rFonts w:ascii="Century Schoolbook" w:hAnsi="Century Schoolbook"/>
          <w:b/>
          <w:sz w:val="24"/>
          <w:szCs w:val="24"/>
        </w:rPr>
        <w:t xml:space="preserve"> updated PIK</w:t>
      </w:r>
      <w:r w:rsidR="00E955C6" w:rsidRPr="009C79E6">
        <w:rPr>
          <w:rFonts w:ascii="Century Schoolbook" w:hAnsi="Century Schoolbook"/>
          <w:b/>
          <w:sz w:val="24"/>
          <w:szCs w:val="24"/>
        </w:rPr>
        <w:t xml:space="preserve"> and pay attention to the PIK comments.</w:t>
      </w:r>
      <w:r w:rsidR="00A11957" w:rsidRPr="009C79E6">
        <w:rPr>
          <w:rFonts w:ascii="Century Schoolbook" w:hAnsi="Century Schoolbook"/>
          <w:b/>
          <w:sz w:val="24"/>
          <w:szCs w:val="24"/>
        </w:rPr>
        <w:t xml:space="preserve">  </w:t>
      </w:r>
    </w:p>
    <w:p w:rsidR="00A11957" w:rsidRDefault="00A11957" w:rsidP="00A11957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In affirmative defense cases, instruct the jury on PIK </w:t>
      </w:r>
      <w:r w:rsidR="00313F14">
        <w:rPr>
          <w:rFonts w:ascii="Century Schoolbook" w:hAnsi="Century Schoolbook"/>
          <w:sz w:val="24"/>
          <w:szCs w:val="24"/>
        </w:rPr>
        <w:t>4</w:t>
      </w:r>
      <w:r w:rsidR="00313F14" w:rsidRPr="00313F14">
        <w:rPr>
          <w:rFonts w:ascii="Century Schoolbook" w:hAnsi="Century Schoolbook"/>
          <w:sz w:val="24"/>
          <w:szCs w:val="24"/>
          <w:vertAlign w:val="superscript"/>
        </w:rPr>
        <w:t>th</w:t>
      </w:r>
      <w:r w:rsidR="00313F14">
        <w:rPr>
          <w:rFonts w:ascii="Century Schoolbook" w:hAnsi="Century Schoolbook"/>
          <w:sz w:val="24"/>
          <w:szCs w:val="24"/>
        </w:rPr>
        <w:t xml:space="preserve"> 51.050.</w:t>
      </w:r>
    </w:p>
    <w:p w:rsidR="00E54A1B" w:rsidRDefault="00A11957" w:rsidP="00A11957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Caveat: when instructing on the elements of an older crime, the PIK in effect when the crime was committed may be preferable</w:t>
      </w:r>
      <w:r w:rsidR="00E54A1B">
        <w:rPr>
          <w:rFonts w:ascii="Century Schoolbook" w:hAnsi="Century Schoolbook"/>
          <w:sz w:val="24"/>
          <w:szCs w:val="24"/>
        </w:rPr>
        <w:t xml:space="preserve"> if the statute has been modified</w:t>
      </w:r>
      <w:r>
        <w:rPr>
          <w:rFonts w:ascii="Century Schoolbook" w:hAnsi="Century Schoolbook"/>
          <w:sz w:val="24"/>
          <w:szCs w:val="24"/>
        </w:rPr>
        <w:t>.</w:t>
      </w:r>
      <w:r w:rsidR="009C79E6">
        <w:rPr>
          <w:rFonts w:ascii="Century Schoolbook" w:hAnsi="Century Schoolbook"/>
          <w:sz w:val="24"/>
          <w:szCs w:val="24"/>
        </w:rPr>
        <w:t xml:space="preserve">  Any other instruction should likely be the most recent version of the PIK.</w:t>
      </w:r>
    </w:p>
    <w:p w:rsidR="00A11957" w:rsidRDefault="00C25554" w:rsidP="00E54A1B">
      <w:pPr>
        <w:pStyle w:val="ListParagraph"/>
        <w:numPr>
          <w:ilvl w:val="1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 other words,</w:t>
      </w:r>
      <w:r w:rsidR="00E54A1B">
        <w:rPr>
          <w:rFonts w:ascii="Century Schoolbook" w:hAnsi="Century Schoolbook"/>
          <w:sz w:val="24"/>
          <w:szCs w:val="24"/>
        </w:rPr>
        <w:t xml:space="preserve"> ensure the instruction matches the elements of the crime as they existed when the crime was committed.</w:t>
      </w:r>
      <w:r w:rsidR="00A11957">
        <w:rPr>
          <w:rFonts w:ascii="Century Schoolbook" w:hAnsi="Century Schoolbook"/>
          <w:sz w:val="24"/>
          <w:szCs w:val="24"/>
        </w:rPr>
        <w:t xml:space="preserve">    </w:t>
      </w:r>
    </w:p>
    <w:p w:rsidR="009C79E6" w:rsidRPr="009C79E6" w:rsidRDefault="009C79E6" w:rsidP="00BE6FA3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9C79E6">
        <w:rPr>
          <w:rFonts w:ascii="Century Schoolbook" w:hAnsi="Century Schoolbook"/>
          <w:b/>
          <w:sz w:val="24"/>
          <w:szCs w:val="24"/>
        </w:rPr>
        <w:t>Do not give the aiding and abetting foreseeability instructions with any crime that requires intentional conduct</w:t>
      </w:r>
      <w:r>
        <w:rPr>
          <w:rFonts w:ascii="Century Schoolbook" w:hAnsi="Century Schoolbook"/>
          <w:b/>
          <w:sz w:val="24"/>
          <w:szCs w:val="24"/>
        </w:rPr>
        <w:t>.</w:t>
      </w:r>
    </w:p>
    <w:p w:rsidR="00E955C6" w:rsidRPr="00C25554" w:rsidRDefault="009C79E6" w:rsidP="00C54F34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  <w:szCs w:val="24"/>
        </w:rPr>
      </w:pPr>
      <w:r w:rsidRPr="00C25554">
        <w:rPr>
          <w:rFonts w:ascii="Century Schoolbook" w:hAnsi="Century Schoolbook"/>
          <w:sz w:val="24"/>
          <w:szCs w:val="24"/>
        </w:rPr>
        <w:t>The aiding and abetting f</w:t>
      </w:r>
      <w:r w:rsidR="004324C3" w:rsidRPr="00C25554">
        <w:rPr>
          <w:rFonts w:ascii="Century Schoolbook" w:hAnsi="Century Schoolbook"/>
          <w:sz w:val="24"/>
          <w:szCs w:val="24"/>
        </w:rPr>
        <w:t>oreseeability instruction</w:t>
      </w:r>
      <w:r w:rsidRPr="00C25554">
        <w:rPr>
          <w:rFonts w:ascii="Century Schoolbook" w:hAnsi="Century Schoolbook"/>
          <w:sz w:val="24"/>
          <w:szCs w:val="24"/>
        </w:rPr>
        <w:t xml:space="preserve"> is</w:t>
      </w:r>
      <w:r w:rsidR="004324C3" w:rsidRPr="00C25554">
        <w:rPr>
          <w:rFonts w:ascii="Century Schoolbook" w:hAnsi="Century Schoolbook"/>
          <w:sz w:val="24"/>
          <w:szCs w:val="24"/>
        </w:rPr>
        <w:t xml:space="preserve"> highly problematic with specific intent crimes</w:t>
      </w:r>
      <w:r w:rsidR="001C105E" w:rsidRPr="00C25554">
        <w:rPr>
          <w:rFonts w:ascii="Century Schoolbook" w:hAnsi="Century Schoolbook"/>
          <w:sz w:val="24"/>
          <w:szCs w:val="24"/>
        </w:rPr>
        <w:t>.</w:t>
      </w:r>
      <w:r w:rsidRPr="00C25554">
        <w:rPr>
          <w:rFonts w:ascii="Century Schoolbook" w:hAnsi="Century Schoolbook"/>
          <w:sz w:val="24"/>
          <w:szCs w:val="24"/>
        </w:rPr>
        <w:t xml:space="preserve">  </w:t>
      </w:r>
      <w:r w:rsidR="00C25554" w:rsidRPr="00C25554">
        <w:rPr>
          <w:rFonts w:ascii="Century Schoolbook" w:hAnsi="Century Schoolbook"/>
          <w:sz w:val="24"/>
          <w:szCs w:val="24"/>
        </w:rPr>
        <w:t xml:space="preserve">E.g. </w:t>
      </w:r>
      <w:r w:rsidR="00C25554" w:rsidRPr="00C25554">
        <w:rPr>
          <w:rFonts w:ascii="Century Schoolbook" w:hAnsi="Century Schoolbook"/>
          <w:i/>
          <w:sz w:val="24"/>
          <w:szCs w:val="24"/>
        </w:rPr>
        <w:t>State v. Overstreet</w:t>
      </w:r>
      <w:r w:rsidR="00C25554" w:rsidRPr="00C25554">
        <w:rPr>
          <w:rFonts w:ascii="Century Schoolbook" w:hAnsi="Century Schoolbook"/>
          <w:sz w:val="24"/>
          <w:szCs w:val="24"/>
        </w:rPr>
        <w:t>, 288 Kan. 1, 200 P.3d 427 (2009) (reversing a premediated first degree murder conviction).</w:t>
      </w:r>
    </w:p>
    <w:p w:rsidR="005A2874" w:rsidRDefault="00313F14" w:rsidP="005A2874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9C79E6">
        <w:rPr>
          <w:rFonts w:ascii="Century Schoolbook" w:hAnsi="Century Schoolbook"/>
          <w:b/>
          <w:sz w:val="24"/>
          <w:szCs w:val="24"/>
        </w:rPr>
        <w:t>Be careful with the word presumption in jury instructions favoring the State.</w:t>
      </w:r>
    </w:p>
    <w:p w:rsidR="00313F14" w:rsidRDefault="005A2874" w:rsidP="005A2874">
      <w:pPr>
        <w:pStyle w:val="ListParagraph"/>
        <w:ind w:left="1080" w:hanging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-    K.S.A. 60-416 will </w:t>
      </w:r>
      <w:r w:rsidR="00313F14" w:rsidRPr="00313F14">
        <w:rPr>
          <w:rFonts w:ascii="Century Schoolbook" w:hAnsi="Century Schoolbook"/>
          <w:sz w:val="24"/>
          <w:szCs w:val="24"/>
        </w:rPr>
        <w:t>be amended on July 1, 202</w:t>
      </w:r>
      <w:r>
        <w:rPr>
          <w:rFonts w:ascii="Century Schoolbook" w:hAnsi="Century Schoolbook"/>
          <w:sz w:val="24"/>
          <w:szCs w:val="24"/>
        </w:rPr>
        <w:t>4</w:t>
      </w:r>
      <w:r w:rsidR="00313F14" w:rsidRPr="00313F14">
        <w:rPr>
          <w:rFonts w:ascii="Century Schoolbook" w:hAnsi="Century Schoolbook"/>
          <w:sz w:val="24"/>
          <w:szCs w:val="24"/>
        </w:rPr>
        <w:t>.  It requires:</w:t>
      </w:r>
      <w:r>
        <w:rPr>
          <w:rFonts w:ascii="Century Schoolbook" w:hAnsi="Century Schoolbook"/>
          <w:sz w:val="24"/>
          <w:szCs w:val="24"/>
        </w:rPr>
        <w:t xml:space="preserve"> A) the judge to find </w:t>
      </w:r>
      <w:r w:rsidR="000F409F">
        <w:rPr>
          <w:rFonts w:ascii="Century Schoolbook" w:hAnsi="Century Schoolbook"/>
          <w:sz w:val="24"/>
          <w:szCs w:val="24"/>
        </w:rPr>
        <w:t xml:space="preserve">the </w:t>
      </w:r>
      <w:r>
        <w:rPr>
          <w:rFonts w:ascii="Century Schoolbook" w:hAnsi="Century Schoolbook"/>
          <w:sz w:val="24"/>
          <w:szCs w:val="24"/>
        </w:rPr>
        <w:t xml:space="preserve">facts support </w:t>
      </w:r>
      <w:r w:rsidR="00C25554">
        <w:rPr>
          <w:rFonts w:ascii="Century Schoolbook" w:hAnsi="Century Schoolbook"/>
          <w:sz w:val="24"/>
          <w:szCs w:val="24"/>
        </w:rPr>
        <w:t>any presumption or inference</w:t>
      </w:r>
      <w:r>
        <w:rPr>
          <w:rFonts w:ascii="Century Schoolbook" w:hAnsi="Century Schoolbook"/>
          <w:sz w:val="24"/>
          <w:szCs w:val="24"/>
        </w:rPr>
        <w:t xml:space="preserve">; and B) if so, then the jury must instructed on the following three things: 1) the jury may </w:t>
      </w:r>
      <w:r w:rsidRPr="005A2874">
        <w:rPr>
          <w:rFonts w:ascii="Century Schoolbook" w:hAnsi="Century Schoolbook"/>
          <w:sz w:val="24"/>
          <w:szCs w:val="24"/>
        </w:rPr>
        <w:t>consider the presumption or inference along with all other evidence in the case</w:t>
      </w:r>
      <w:r>
        <w:rPr>
          <w:rFonts w:ascii="Century Schoolbook" w:hAnsi="Century Schoolbook"/>
          <w:sz w:val="24"/>
          <w:szCs w:val="24"/>
        </w:rPr>
        <w:t xml:space="preserve">; 2) </w:t>
      </w:r>
      <w:r w:rsidRPr="005A2874">
        <w:rPr>
          <w:rFonts w:ascii="Century Schoolbook" w:hAnsi="Century Schoolbook"/>
          <w:sz w:val="24"/>
          <w:szCs w:val="24"/>
        </w:rPr>
        <w:t>the jury may accept or reject the presumption or inference in determining whether the prosecution has met the burden of proof</w:t>
      </w:r>
      <w:r>
        <w:rPr>
          <w:rFonts w:ascii="Century Schoolbook" w:hAnsi="Century Schoolbook"/>
          <w:sz w:val="24"/>
          <w:szCs w:val="24"/>
        </w:rPr>
        <w:t xml:space="preserve">; and 3) </w:t>
      </w:r>
      <w:r w:rsidRPr="005A2874">
        <w:rPr>
          <w:rFonts w:ascii="Century Schoolbook" w:hAnsi="Century Schoolbook"/>
          <w:sz w:val="24"/>
          <w:szCs w:val="24"/>
        </w:rPr>
        <w:t>the burden of proof never shifts to the defendant</w:t>
      </w:r>
      <w:r>
        <w:rPr>
          <w:rFonts w:ascii="Century Schoolbook" w:hAnsi="Century Schoolbook"/>
          <w:sz w:val="24"/>
          <w:szCs w:val="24"/>
        </w:rPr>
        <w:t>.</w:t>
      </w:r>
    </w:p>
    <w:p w:rsidR="005A2874" w:rsidRPr="00313F14" w:rsidRDefault="005A2874" w:rsidP="005A2874">
      <w:pPr>
        <w:pStyle w:val="ListParagraph"/>
        <w:ind w:left="1080" w:hanging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-    </w:t>
      </w:r>
      <w:r w:rsidR="00DB054B">
        <w:rPr>
          <w:rFonts w:ascii="Century Schoolbook" w:hAnsi="Century Schoolbook"/>
          <w:sz w:val="24"/>
          <w:szCs w:val="24"/>
        </w:rPr>
        <w:t xml:space="preserve">This </w:t>
      </w:r>
      <w:r w:rsidR="00C25554">
        <w:rPr>
          <w:rFonts w:ascii="Century Schoolbook" w:hAnsi="Century Schoolbook"/>
          <w:sz w:val="24"/>
          <w:szCs w:val="24"/>
        </w:rPr>
        <w:t xml:space="preserve">largely </w:t>
      </w:r>
      <w:r w:rsidR="00DB054B">
        <w:rPr>
          <w:rFonts w:ascii="Century Schoolbook" w:hAnsi="Century Schoolbook"/>
          <w:sz w:val="24"/>
          <w:szCs w:val="24"/>
        </w:rPr>
        <w:t xml:space="preserve">tracks with the current language in PIK 57.022.  It remains to be seen if the Kansas Supreme Court will allow the substitution of presumption for inference based on </w:t>
      </w:r>
      <w:r w:rsidR="00BD63A5">
        <w:rPr>
          <w:rFonts w:ascii="Century Schoolbook" w:hAnsi="Century Schoolbook"/>
          <w:sz w:val="24"/>
          <w:szCs w:val="24"/>
        </w:rPr>
        <w:t xml:space="preserve">K.S.A. </w:t>
      </w:r>
      <w:r w:rsidR="00DB054B">
        <w:rPr>
          <w:rFonts w:ascii="Century Schoolbook" w:hAnsi="Century Schoolbook"/>
          <w:sz w:val="24"/>
          <w:szCs w:val="24"/>
        </w:rPr>
        <w:t>60-416.</w:t>
      </w:r>
    </w:p>
    <w:p w:rsidR="004324C3" w:rsidRPr="009C79E6" w:rsidRDefault="004324C3" w:rsidP="00BE6FA3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sz w:val="24"/>
          <w:szCs w:val="24"/>
        </w:rPr>
      </w:pPr>
      <w:r w:rsidRPr="009C79E6">
        <w:rPr>
          <w:rFonts w:ascii="Century Schoolbook" w:hAnsi="Century Schoolbook"/>
          <w:b/>
          <w:sz w:val="24"/>
          <w:szCs w:val="24"/>
        </w:rPr>
        <w:t xml:space="preserve">Make sure </w:t>
      </w:r>
      <w:r w:rsidR="009C79E6">
        <w:rPr>
          <w:rFonts w:ascii="Century Schoolbook" w:hAnsi="Century Schoolbook"/>
          <w:b/>
          <w:sz w:val="24"/>
          <w:szCs w:val="24"/>
        </w:rPr>
        <w:t>any element instruction with an intent does not conflict with a definitional instruction’s intent</w:t>
      </w:r>
      <w:r w:rsidR="001C105E" w:rsidRPr="009C79E6">
        <w:rPr>
          <w:rFonts w:ascii="Century Schoolbook" w:hAnsi="Century Schoolbook"/>
          <w:b/>
          <w:sz w:val="24"/>
          <w:szCs w:val="24"/>
        </w:rPr>
        <w:t>.</w:t>
      </w:r>
    </w:p>
    <w:p w:rsidR="001C105E" w:rsidRDefault="001C105E" w:rsidP="001C105E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If the definition has an intent, don’t </w:t>
      </w:r>
      <w:r w:rsidR="00E955C6">
        <w:rPr>
          <w:rFonts w:ascii="Century Schoolbook" w:hAnsi="Century Schoolbook"/>
          <w:sz w:val="24"/>
          <w:szCs w:val="24"/>
        </w:rPr>
        <w:t>give</w:t>
      </w:r>
      <w:r>
        <w:rPr>
          <w:rFonts w:ascii="Century Schoolbook" w:hAnsi="Century Schoolbook"/>
          <w:sz w:val="24"/>
          <w:szCs w:val="24"/>
        </w:rPr>
        <w:t xml:space="preserve"> an element instruction that conflict</w:t>
      </w:r>
      <w:r w:rsidR="00E955C6">
        <w:rPr>
          <w:rFonts w:ascii="Century Schoolbook" w:hAnsi="Century Schoolbook"/>
          <w:sz w:val="24"/>
          <w:szCs w:val="24"/>
        </w:rPr>
        <w:t>s</w:t>
      </w:r>
      <w:r>
        <w:rPr>
          <w:rFonts w:ascii="Century Schoolbook" w:hAnsi="Century Schoolbook"/>
          <w:sz w:val="24"/>
          <w:szCs w:val="24"/>
        </w:rPr>
        <w:t xml:space="preserve"> with that intent.</w:t>
      </w:r>
    </w:p>
    <w:p w:rsidR="00C25554" w:rsidRPr="000F409F" w:rsidRDefault="001C105E" w:rsidP="00017D56">
      <w:pPr>
        <w:pStyle w:val="ListParagraph"/>
        <w:numPr>
          <w:ilvl w:val="0"/>
          <w:numId w:val="2"/>
        </w:numPr>
        <w:rPr>
          <w:rFonts w:ascii="Century Schoolbook" w:hAnsi="Century Schoolbook"/>
          <w:b/>
          <w:sz w:val="24"/>
          <w:szCs w:val="24"/>
        </w:rPr>
      </w:pPr>
      <w:r w:rsidRPr="000F409F">
        <w:rPr>
          <w:rFonts w:ascii="Century Schoolbook" w:hAnsi="Century Schoolbook"/>
          <w:sz w:val="24"/>
          <w:szCs w:val="24"/>
        </w:rPr>
        <w:t xml:space="preserve">E.g. possession requires knowing conduct.  </w:t>
      </w:r>
      <w:r w:rsidR="00DB054B" w:rsidRPr="000F409F">
        <w:rPr>
          <w:rFonts w:ascii="Century Schoolbook" w:hAnsi="Century Schoolbook"/>
          <w:sz w:val="24"/>
          <w:szCs w:val="24"/>
        </w:rPr>
        <w:t>K.S.A. 21-5111(v)</w:t>
      </w:r>
      <w:r w:rsidR="009C79E6" w:rsidRPr="000F409F">
        <w:rPr>
          <w:rFonts w:ascii="Century Schoolbook" w:hAnsi="Century Schoolbook"/>
          <w:sz w:val="24"/>
          <w:szCs w:val="24"/>
        </w:rPr>
        <w:t xml:space="preserve">.  </w:t>
      </w:r>
      <w:r w:rsidRPr="000F409F">
        <w:rPr>
          <w:rFonts w:ascii="Century Schoolbook" w:hAnsi="Century Schoolbook"/>
          <w:sz w:val="24"/>
          <w:szCs w:val="24"/>
        </w:rPr>
        <w:t>Thus, reckless possession is problematic.</w:t>
      </w:r>
    </w:p>
    <w:p w:rsidR="009C79E6" w:rsidRPr="009C79E6" w:rsidRDefault="009C79E6" w:rsidP="009C79E6">
      <w:pPr>
        <w:pStyle w:val="ListParagraph"/>
        <w:numPr>
          <w:ilvl w:val="0"/>
          <w:numId w:val="1"/>
        </w:numPr>
        <w:shd w:val="clear" w:color="auto" w:fill="FFFFFF"/>
        <w:spacing w:after="0" w:line="320" w:lineRule="atLeast"/>
        <w:rPr>
          <w:rFonts w:ascii="Century Schoolbook" w:hAnsi="Century Schoolbook"/>
          <w:sz w:val="24"/>
          <w:szCs w:val="24"/>
        </w:rPr>
      </w:pPr>
      <w:r w:rsidRPr="009C79E6">
        <w:rPr>
          <w:rFonts w:ascii="Century Schoolbook" w:hAnsi="Century Schoolbook"/>
          <w:b/>
          <w:sz w:val="24"/>
          <w:szCs w:val="24"/>
        </w:rPr>
        <w:lastRenderedPageBreak/>
        <w:t xml:space="preserve">Follow </w:t>
      </w:r>
      <w:r w:rsidR="00621528">
        <w:rPr>
          <w:rFonts w:ascii="Century Schoolbook" w:hAnsi="Century Schoolbook"/>
          <w:b/>
          <w:sz w:val="24"/>
          <w:szCs w:val="24"/>
        </w:rPr>
        <w:t xml:space="preserve">the procedures and instruction laid out by the Kansas Supreme Court in </w:t>
      </w:r>
      <w:r w:rsidRPr="009C79E6">
        <w:rPr>
          <w:rFonts w:ascii="Century Schoolbook" w:eastAsia="Times New Roman" w:hAnsi="Century Schoolbook" w:cs="Times New Roman"/>
          <w:b/>
          <w:i/>
          <w:iCs/>
          <w:sz w:val="24"/>
          <w:szCs w:val="24"/>
          <w:bdr w:val="none" w:sz="0" w:space="0" w:color="auto" w:frame="1"/>
        </w:rPr>
        <w:t xml:space="preserve">State v. </w:t>
      </w:r>
      <w:proofErr w:type="spellStart"/>
      <w:r w:rsidRPr="009C79E6">
        <w:rPr>
          <w:rFonts w:ascii="Century Schoolbook" w:eastAsia="Times New Roman" w:hAnsi="Century Schoolbook" w:cs="Times New Roman"/>
          <w:b/>
          <w:i/>
          <w:iCs/>
          <w:sz w:val="24"/>
          <w:szCs w:val="24"/>
          <w:bdr w:val="none" w:sz="0" w:space="0" w:color="auto" w:frame="1"/>
        </w:rPr>
        <w:t>Guebara</w:t>
      </w:r>
      <w:proofErr w:type="spellEnd"/>
      <w:r w:rsidRPr="009C79E6">
        <w:rPr>
          <w:rFonts w:ascii="Century Schoolbook" w:eastAsia="Times New Roman" w:hAnsi="Century Schoolbook" w:cs="Times New Roman"/>
          <w:b/>
          <w:sz w:val="24"/>
          <w:szCs w:val="24"/>
        </w:rPr>
        <w:t>, __ Kan. __, 544 P.3d 794, 805 (2024)</w:t>
      </w:r>
      <w:r w:rsidR="00621528">
        <w:rPr>
          <w:rFonts w:ascii="Century Schoolbook" w:eastAsia="Times New Roman" w:hAnsi="Century Schoolbook" w:cs="Times New Roman"/>
          <w:b/>
          <w:sz w:val="24"/>
          <w:szCs w:val="24"/>
        </w:rPr>
        <w:t>,</w:t>
      </w:r>
      <w:r>
        <w:rPr>
          <w:rFonts w:ascii="Century Schoolbook" w:eastAsia="Times New Roman" w:hAnsi="Century Schoolbook" w:cs="Times New Roman"/>
          <w:b/>
          <w:sz w:val="24"/>
          <w:szCs w:val="24"/>
        </w:rPr>
        <w:t xml:space="preserve"> in criminal possession </w:t>
      </w:r>
      <w:r w:rsidR="000F409F">
        <w:rPr>
          <w:rFonts w:ascii="Century Schoolbook" w:eastAsia="Times New Roman" w:hAnsi="Century Schoolbook" w:cs="Times New Roman"/>
          <w:b/>
          <w:sz w:val="24"/>
          <w:szCs w:val="24"/>
        </w:rPr>
        <w:t xml:space="preserve">of a weapon </w:t>
      </w:r>
      <w:r>
        <w:rPr>
          <w:rFonts w:ascii="Century Schoolbook" w:eastAsia="Times New Roman" w:hAnsi="Century Schoolbook" w:cs="Times New Roman"/>
          <w:b/>
          <w:sz w:val="24"/>
          <w:szCs w:val="24"/>
        </w:rPr>
        <w:t>cases</w:t>
      </w:r>
      <w:r w:rsidRPr="00621528">
        <w:rPr>
          <w:rFonts w:ascii="Century Schoolbook" w:eastAsia="Times New Roman" w:hAnsi="Century Schoolbook" w:cs="Times New Roman"/>
          <w:b/>
          <w:sz w:val="24"/>
          <w:szCs w:val="24"/>
        </w:rPr>
        <w:t>.</w:t>
      </w:r>
    </w:p>
    <w:p w:rsidR="009C79E6" w:rsidRDefault="00282CED" w:rsidP="005F08D7">
      <w:pPr>
        <w:pStyle w:val="ListParagraph"/>
        <w:numPr>
          <w:ilvl w:val="0"/>
          <w:numId w:val="2"/>
        </w:numPr>
        <w:shd w:val="clear" w:color="auto" w:fill="FFFFFF"/>
        <w:spacing w:after="0" w:line="320" w:lineRule="atLeast"/>
        <w:rPr>
          <w:rFonts w:ascii="Century Schoolbook" w:hAnsi="Century Schoolbook"/>
          <w:sz w:val="24"/>
          <w:szCs w:val="24"/>
        </w:rPr>
      </w:pPr>
      <w:r w:rsidRPr="009C79E6">
        <w:rPr>
          <w:rFonts w:ascii="Century Schoolbook" w:hAnsi="Century Schoolbook"/>
          <w:sz w:val="24"/>
          <w:szCs w:val="24"/>
        </w:rPr>
        <w:t xml:space="preserve">The Kansas Supreme Court has </w:t>
      </w:r>
      <w:r w:rsidR="0066411D" w:rsidRPr="009C79E6">
        <w:rPr>
          <w:rFonts w:ascii="Century Schoolbook" w:hAnsi="Century Schoolbook"/>
          <w:sz w:val="24"/>
          <w:szCs w:val="24"/>
        </w:rPr>
        <w:t>given explicit guidance on the procedures and instruction to use for stip</w:t>
      </w:r>
      <w:bookmarkStart w:id="0" w:name="_GoBack"/>
      <w:bookmarkEnd w:id="0"/>
      <w:r w:rsidR="0066411D" w:rsidRPr="009C79E6">
        <w:rPr>
          <w:rFonts w:ascii="Century Schoolbook" w:hAnsi="Century Schoolbook"/>
          <w:sz w:val="24"/>
          <w:szCs w:val="24"/>
        </w:rPr>
        <w:t>ulations to prior felony convictions.</w:t>
      </w:r>
      <w:r w:rsidR="00A70C1B" w:rsidRPr="009C79E6">
        <w:rPr>
          <w:rFonts w:ascii="Century Schoolbook" w:hAnsi="Century Schoolbook"/>
          <w:sz w:val="24"/>
          <w:szCs w:val="24"/>
        </w:rPr>
        <w:t xml:space="preserve">  </w:t>
      </w:r>
    </w:p>
    <w:p w:rsidR="005F08D7" w:rsidRDefault="00BD63A5" w:rsidP="005F08D7">
      <w:pPr>
        <w:pStyle w:val="ListParagraph"/>
        <w:numPr>
          <w:ilvl w:val="0"/>
          <w:numId w:val="2"/>
        </w:numPr>
        <w:shd w:val="clear" w:color="auto" w:fill="FFFFFF"/>
        <w:spacing w:after="0" w:line="320" w:lineRule="atLeas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</w:t>
      </w:r>
      <w:r w:rsidR="005F08D7">
        <w:rPr>
          <w:rFonts w:ascii="Century Schoolbook" w:hAnsi="Century Schoolbook"/>
          <w:sz w:val="24"/>
          <w:szCs w:val="24"/>
        </w:rPr>
        <w:t xml:space="preserve"> PIK update </w:t>
      </w:r>
      <w:r>
        <w:rPr>
          <w:rFonts w:ascii="Century Schoolbook" w:hAnsi="Century Schoolbook"/>
          <w:sz w:val="24"/>
          <w:szCs w:val="24"/>
        </w:rPr>
        <w:t>may</w:t>
      </w:r>
      <w:r w:rsidR="005F08D7">
        <w:rPr>
          <w:rFonts w:ascii="Century Schoolbook" w:hAnsi="Century Schoolbook"/>
          <w:sz w:val="24"/>
          <w:szCs w:val="24"/>
        </w:rPr>
        <w:t xml:space="preserve"> happen based on the case.</w:t>
      </w:r>
    </w:p>
    <w:p w:rsidR="00282CED" w:rsidRDefault="00282CED" w:rsidP="00FE3F7A">
      <w:pPr>
        <w:pStyle w:val="ListParagraph"/>
        <w:numPr>
          <w:ilvl w:val="0"/>
          <w:numId w:val="1"/>
        </w:numPr>
        <w:shd w:val="clear" w:color="auto" w:fill="FFFFFF"/>
        <w:spacing w:after="0" w:line="320" w:lineRule="atLeast"/>
        <w:rPr>
          <w:rFonts w:ascii="Century Schoolbook" w:hAnsi="Century Schoolbook"/>
          <w:b/>
          <w:sz w:val="24"/>
          <w:szCs w:val="24"/>
        </w:rPr>
      </w:pPr>
      <w:r w:rsidRPr="005F08D7">
        <w:rPr>
          <w:rFonts w:ascii="Century Schoolbook" w:hAnsi="Century Schoolbook"/>
          <w:b/>
          <w:sz w:val="24"/>
          <w:szCs w:val="24"/>
        </w:rPr>
        <w:t xml:space="preserve">Give limiting instructions on K.S.A. 60-455 evidence </w:t>
      </w:r>
      <w:r w:rsidR="00096BE6">
        <w:rPr>
          <w:rFonts w:ascii="Century Schoolbook" w:hAnsi="Century Schoolbook"/>
          <w:b/>
          <w:i/>
          <w:sz w:val="24"/>
          <w:szCs w:val="24"/>
        </w:rPr>
        <w:t>when</w:t>
      </w:r>
      <w:r w:rsidRPr="005F08D7">
        <w:rPr>
          <w:rFonts w:ascii="Century Schoolbook" w:hAnsi="Century Schoolbook"/>
          <w:b/>
          <w:i/>
          <w:sz w:val="24"/>
          <w:szCs w:val="24"/>
        </w:rPr>
        <w:t xml:space="preserve"> it</w:t>
      </w:r>
      <w:r w:rsidR="0066411D" w:rsidRPr="005F08D7">
        <w:rPr>
          <w:rFonts w:ascii="Century Schoolbook" w:hAnsi="Century Schoolbook"/>
          <w:b/>
          <w:i/>
          <w:sz w:val="24"/>
          <w:szCs w:val="24"/>
        </w:rPr>
        <w:t>’</w:t>
      </w:r>
      <w:r w:rsidRPr="005F08D7">
        <w:rPr>
          <w:rFonts w:ascii="Century Schoolbook" w:hAnsi="Century Schoolbook"/>
          <w:b/>
          <w:i/>
          <w:sz w:val="24"/>
          <w:szCs w:val="24"/>
        </w:rPr>
        <w:t>s admitted by the defense</w:t>
      </w:r>
      <w:r w:rsidRPr="005F08D7">
        <w:rPr>
          <w:rFonts w:ascii="Century Schoolbook" w:hAnsi="Century Schoolbook"/>
          <w:b/>
          <w:sz w:val="24"/>
          <w:szCs w:val="24"/>
        </w:rPr>
        <w:t>.</w:t>
      </w:r>
    </w:p>
    <w:p w:rsidR="00096BE6" w:rsidRDefault="00096BE6" w:rsidP="00096BE6">
      <w:pPr>
        <w:pStyle w:val="ListParagraph"/>
        <w:numPr>
          <w:ilvl w:val="0"/>
          <w:numId w:val="2"/>
        </w:numPr>
        <w:shd w:val="clear" w:color="auto" w:fill="FFFFFF"/>
        <w:spacing w:after="0" w:line="320" w:lineRule="atLeast"/>
        <w:rPr>
          <w:rFonts w:ascii="Century Schoolbook" w:hAnsi="Century Schoolbook"/>
          <w:sz w:val="24"/>
          <w:szCs w:val="24"/>
        </w:rPr>
      </w:pPr>
      <w:r w:rsidRPr="00096BE6">
        <w:rPr>
          <w:rFonts w:ascii="Century Schoolbook" w:hAnsi="Century Schoolbook"/>
          <w:i/>
          <w:iCs/>
          <w:sz w:val="24"/>
          <w:szCs w:val="24"/>
        </w:rPr>
        <w:t>State v. Molina</w:t>
      </w:r>
      <w:r w:rsidRPr="00096BE6">
        <w:rPr>
          <w:rFonts w:ascii="Century Schoolbook" w:hAnsi="Century Schoolbook"/>
          <w:sz w:val="24"/>
          <w:szCs w:val="24"/>
        </w:rPr>
        <w:t>, 299 Kan. 651, 660, 325 P.3d 1142 (2014)</w:t>
      </w:r>
      <w:r>
        <w:rPr>
          <w:rFonts w:ascii="Century Schoolbook" w:hAnsi="Century Schoolbook"/>
          <w:sz w:val="24"/>
          <w:szCs w:val="24"/>
        </w:rPr>
        <w:t xml:space="preserve">; </w:t>
      </w:r>
      <w:r w:rsidRPr="00096BE6">
        <w:rPr>
          <w:rFonts w:ascii="Century Schoolbook" w:hAnsi="Century Schoolbook"/>
          <w:i/>
          <w:iCs/>
          <w:sz w:val="24"/>
          <w:szCs w:val="24"/>
        </w:rPr>
        <w:t>State v. Albano</w:t>
      </w:r>
      <w:r w:rsidRPr="00096BE6">
        <w:rPr>
          <w:rFonts w:ascii="Century Schoolbook" w:hAnsi="Century Schoolbook"/>
          <w:sz w:val="24"/>
          <w:szCs w:val="24"/>
        </w:rPr>
        <w:t>, 58 Kan. App. 2d 117, 122, 464 P.3d 332 (2020)</w:t>
      </w:r>
      <w:r>
        <w:rPr>
          <w:rFonts w:ascii="Century Schoolbook" w:hAnsi="Century Schoolbook"/>
          <w:sz w:val="24"/>
          <w:szCs w:val="24"/>
        </w:rPr>
        <w:t>.</w:t>
      </w:r>
    </w:p>
    <w:p w:rsidR="00282CED" w:rsidRDefault="00A70C1B" w:rsidP="005F08D7">
      <w:pPr>
        <w:pStyle w:val="ListParagraph"/>
        <w:numPr>
          <w:ilvl w:val="0"/>
          <w:numId w:val="1"/>
        </w:numPr>
        <w:ind w:left="810" w:hanging="450"/>
        <w:rPr>
          <w:rFonts w:ascii="Century Schoolbook" w:hAnsi="Century Schoolbook"/>
          <w:b/>
          <w:sz w:val="24"/>
          <w:szCs w:val="24"/>
        </w:rPr>
      </w:pPr>
      <w:r w:rsidRPr="00495885">
        <w:rPr>
          <w:rFonts w:ascii="Century Schoolbook" w:hAnsi="Century Schoolbook"/>
          <w:b/>
          <w:sz w:val="24"/>
          <w:szCs w:val="24"/>
        </w:rPr>
        <w:t xml:space="preserve">If you admit evidence for something other than the truth of the matter asserted, a jury instruction on the use of the evidence </w:t>
      </w:r>
      <w:r w:rsidR="00495885">
        <w:rPr>
          <w:rFonts w:ascii="Century Schoolbook" w:hAnsi="Century Schoolbook"/>
          <w:b/>
          <w:sz w:val="24"/>
          <w:szCs w:val="24"/>
        </w:rPr>
        <w:t>may be</w:t>
      </w:r>
      <w:r w:rsidRPr="00495885">
        <w:rPr>
          <w:rFonts w:ascii="Century Schoolbook" w:hAnsi="Century Schoolbook"/>
          <w:b/>
          <w:sz w:val="24"/>
          <w:szCs w:val="24"/>
        </w:rPr>
        <w:t xml:space="preserve"> required.</w:t>
      </w:r>
    </w:p>
    <w:p w:rsidR="00495885" w:rsidRPr="00495885" w:rsidRDefault="00495885" w:rsidP="00527D5C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495885">
        <w:rPr>
          <w:rFonts w:ascii="Century Schoolbook" w:hAnsi="Century Schoolbook"/>
          <w:sz w:val="24"/>
          <w:szCs w:val="24"/>
        </w:rPr>
        <w:t xml:space="preserve">Per K.S.A. 60-406, it’s required if it’s requested.  But even if it’s not requested, the appellate courts will determine if the failure to </w:t>
      </w:r>
      <w:proofErr w:type="spellStart"/>
      <w:r w:rsidRPr="00495885">
        <w:rPr>
          <w:rFonts w:ascii="Century Schoolbook" w:hAnsi="Century Schoolbook"/>
          <w:sz w:val="24"/>
          <w:szCs w:val="24"/>
        </w:rPr>
        <w:t>sua</w:t>
      </w:r>
      <w:proofErr w:type="spellEnd"/>
      <w:r w:rsidRPr="0049588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495885">
        <w:rPr>
          <w:rFonts w:ascii="Century Schoolbook" w:hAnsi="Century Schoolbook"/>
          <w:sz w:val="24"/>
          <w:szCs w:val="24"/>
        </w:rPr>
        <w:t>sponte</w:t>
      </w:r>
      <w:proofErr w:type="spellEnd"/>
      <w:r w:rsidRPr="00495885">
        <w:rPr>
          <w:rFonts w:ascii="Century Schoolbook" w:hAnsi="Century Schoolbook"/>
          <w:sz w:val="24"/>
          <w:szCs w:val="24"/>
        </w:rPr>
        <w:t xml:space="preserve"> give the instruction amounts to clear error.  </w:t>
      </w:r>
      <w:r w:rsidRPr="00495885">
        <w:rPr>
          <w:rFonts w:ascii="Century Schoolbook" w:hAnsi="Century Schoolbook"/>
          <w:i/>
          <w:sz w:val="24"/>
          <w:szCs w:val="24"/>
        </w:rPr>
        <w:t>State v. Alfaro-</w:t>
      </w:r>
      <w:proofErr w:type="spellStart"/>
      <w:r w:rsidRPr="00495885">
        <w:rPr>
          <w:rFonts w:ascii="Century Schoolbook" w:hAnsi="Century Schoolbook"/>
          <w:i/>
          <w:sz w:val="24"/>
          <w:szCs w:val="24"/>
        </w:rPr>
        <w:t>Valleda</w:t>
      </w:r>
      <w:proofErr w:type="spellEnd"/>
      <w:r w:rsidRPr="00495885">
        <w:rPr>
          <w:rFonts w:ascii="Century Schoolbook" w:hAnsi="Century Schoolbook"/>
          <w:sz w:val="24"/>
          <w:szCs w:val="24"/>
        </w:rPr>
        <w:t>, 314 Kan. 526, 502 P.3d 66 (2022).</w:t>
      </w:r>
    </w:p>
    <w:p w:rsidR="005F08D7" w:rsidRPr="005F08D7" w:rsidRDefault="005F08D7" w:rsidP="005F08D7">
      <w:pPr>
        <w:pStyle w:val="ListParagraph"/>
        <w:numPr>
          <w:ilvl w:val="0"/>
          <w:numId w:val="1"/>
        </w:numPr>
        <w:ind w:left="810" w:hanging="45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Give an instruction on any lesser that could withstand a sufficiency of the evidence challenge.</w:t>
      </w:r>
    </w:p>
    <w:p w:rsidR="005F08D7" w:rsidRDefault="00333F2B" w:rsidP="005F08D7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But a</w:t>
      </w:r>
      <w:r w:rsidR="005F08D7">
        <w:rPr>
          <w:rFonts w:ascii="Century Schoolbook" w:hAnsi="Century Schoolbook"/>
          <w:sz w:val="24"/>
          <w:szCs w:val="24"/>
        </w:rPr>
        <w:t xml:space="preserve">void most heat of passion </w:t>
      </w:r>
      <w:r w:rsidR="00382A27">
        <w:rPr>
          <w:rFonts w:ascii="Century Schoolbook" w:hAnsi="Century Schoolbook"/>
          <w:sz w:val="24"/>
          <w:szCs w:val="24"/>
        </w:rPr>
        <w:t xml:space="preserve">voluntary </w:t>
      </w:r>
      <w:r w:rsidR="005F08D7">
        <w:rPr>
          <w:rFonts w:ascii="Century Schoolbook" w:hAnsi="Century Schoolbook"/>
          <w:sz w:val="24"/>
          <w:szCs w:val="24"/>
        </w:rPr>
        <w:t>manslaughter instructions.  Sufficient provocation is rare.</w:t>
      </w:r>
    </w:p>
    <w:p w:rsidR="00382A27" w:rsidRPr="005F08D7" w:rsidRDefault="00382A27" w:rsidP="00382A27">
      <w:pPr>
        <w:pStyle w:val="ListParagraph"/>
        <w:numPr>
          <w:ilvl w:val="1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If the jury convicts on it, but there isn’t sufficient evidence of provocation, there appears to be nothing we can do to </w:t>
      </w:r>
      <w:r w:rsidR="000F409F">
        <w:rPr>
          <w:rFonts w:ascii="Century Schoolbook" w:hAnsi="Century Schoolbook"/>
          <w:sz w:val="24"/>
          <w:szCs w:val="24"/>
        </w:rPr>
        <w:t>avoid vacating the conviction without the option of a retrial</w:t>
      </w:r>
      <w:r>
        <w:rPr>
          <w:rFonts w:ascii="Century Schoolbook" w:hAnsi="Century Schoolbook"/>
          <w:sz w:val="24"/>
          <w:szCs w:val="24"/>
        </w:rPr>
        <w:t>.</w:t>
      </w:r>
    </w:p>
    <w:p w:rsidR="005F08D7" w:rsidRPr="00333F2B" w:rsidRDefault="006631F2" w:rsidP="005F08D7">
      <w:pPr>
        <w:pStyle w:val="ListParagraph"/>
        <w:numPr>
          <w:ilvl w:val="0"/>
          <w:numId w:val="1"/>
        </w:numPr>
        <w:ind w:left="810" w:hanging="45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Include an element for</w:t>
      </w:r>
      <w:r w:rsidR="005F08D7">
        <w:rPr>
          <w:rFonts w:ascii="Century Schoolbook" w:hAnsi="Century Schoolbook"/>
          <w:b/>
          <w:sz w:val="24"/>
          <w:szCs w:val="24"/>
        </w:rPr>
        <w:t xml:space="preserve"> the defend</w:t>
      </w:r>
      <w:r w:rsidR="00843216">
        <w:rPr>
          <w:rFonts w:ascii="Century Schoolbook" w:hAnsi="Century Schoolbook"/>
          <w:b/>
          <w:sz w:val="24"/>
          <w:szCs w:val="24"/>
        </w:rPr>
        <w:t xml:space="preserve">ant being 18 or over in any sexually violent crime </w:t>
      </w:r>
      <w:r w:rsidR="006F1A80">
        <w:rPr>
          <w:rFonts w:ascii="Century Schoolbook" w:hAnsi="Century Schoolbook"/>
          <w:b/>
          <w:sz w:val="24"/>
          <w:szCs w:val="24"/>
        </w:rPr>
        <w:t xml:space="preserve">as well as </w:t>
      </w:r>
      <w:r w:rsidR="00A03987">
        <w:rPr>
          <w:rFonts w:ascii="Century Schoolbook" w:hAnsi="Century Schoolbook"/>
          <w:b/>
          <w:sz w:val="24"/>
          <w:szCs w:val="24"/>
        </w:rPr>
        <w:t>any other case where it’s an element of the crime or sentencing</w:t>
      </w:r>
      <w:r w:rsidR="006F1A80">
        <w:rPr>
          <w:rFonts w:ascii="Century Schoolbook" w:hAnsi="Century Schoolbook"/>
          <w:b/>
          <w:sz w:val="24"/>
          <w:szCs w:val="24"/>
        </w:rPr>
        <w:t>.</w:t>
      </w:r>
    </w:p>
    <w:p w:rsidR="00333F2B" w:rsidRDefault="00333F2B" w:rsidP="005F08D7">
      <w:pPr>
        <w:pStyle w:val="ListParagraph"/>
        <w:numPr>
          <w:ilvl w:val="0"/>
          <w:numId w:val="1"/>
        </w:numPr>
        <w:ind w:left="810" w:hanging="450"/>
        <w:rPr>
          <w:rFonts w:ascii="Century Schoolbook" w:hAnsi="Century Schoolbook"/>
          <w:b/>
          <w:sz w:val="24"/>
          <w:szCs w:val="24"/>
        </w:rPr>
      </w:pPr>
      <w:r w:rsidRPr="00333F2B">
        <w:rPr>
          <w:rFonts w:ascii="Century Schoolbook" w:hAnsi="Century Schoolbook"/>
          <w:b/>
          <w:sz w:val="24"/>
          <w:szCs w:val="24"/>
        </w:rPr>
        <w:t>Special verdicts are prohibited.</w:t>
      </w:r>
    </w:p>
    <w:p w:rsidR="00CD0EA4" w:rsidRPr="00B34E99" w:rsidRDefault="00C25554" w:rsidP="00B34E99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B34E99">
        <w:rPr>
          <w:rFonts w:ascii="Century Schoolbook" w:hAnsi="Century Schoolbook"/>
          <w:sz w:val="24"/>
          <w:szCs w:val="24"/>
        </w:rPr>
        <w:t xml:space="preserve">“In general the only proper verdicts to be submitted in a criminal prosecution are ‘guilty’ or ‘not guilty’ of the charges.” </w:t>
      </w:r>
      <w:r w:rsidRPr="00B34E99">
        <w:rPr>
          <w:rFonts w:ascii="Century Schoolbook" w:hAnsi="Century Schoolbook"/>
          <w:i/>
          <w:iCs/>
          <w:sz w:val="24"/>
          <w:szCs w:val="24"/>
          <w:lang w:val="sv-SE"/>
        </w:rPr>
        <w:t>State v. Obregon</w:t>
      </w:r>
      <w:r w:rsidRPr="00B34E99">
        <w:rPr>
          <w:rFonts w:ascii="Century Schoolbook" w:hAnsi="Century Schoolbook"/>
          <w:sz w:val="24"/>
          <w:szCs w:val="24"/>
          <w:lang w:val="sv-SE"/>
        </w:rPr>
        <w:t xml:space="preserve">, 309 Kan. 1267, </w:t>
      </w:r>
      <w:r w:rsidR="00B34E99">
        <w:rPr>
          <w:rFonts w:ascii="Century Schoolbook" w:hAnsi="Century Schoolbook"/>
          <w:sz w:val="24"/>
          <w:szCs w:val="24"/>
          <w:lang w:val="sv-SE"/>
        </w:rPr>
        <w:t xml:space="preserve">1278, </w:t>
      </w:r>
      <w:r w:rsidRPr="00B34E99">
        <w:rPr>
          <w:rFonts w:ascii="Century Schoolbook" w:hAnsi="Century Schoolbook"/>
          <w:sz w:val="24"/>
          <w:szCs w:val="24"/>
          <w:lang w:val="sv-SE"/>
        </w:rPr>
        <w:t>444 P.3d 331 (2019).</w:t>
      </w:r>
    </w:p>
    <w:p w:rsidR="00B34E99" w:rsidRPr="00333F2B" w:rsidRDefault="00B34E99" w:rsidP="00B34E99">
      <w:pPr>
        <w:pStyle w:val="ListParagraph"/>
        <w:numPr>
          <w:ilvl w:val="0"/>
          <w:numId w:val="2"/>
        </w:num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Any sentencing enhancements likely need to be instructed on in a manner similar to lesser included offenses</w:t>
      </w:r>
      <w:r w:rsidR="00C25554">
        <w:rPr>
          <w:rFonts w:ascii="Century Schoolbook" w:hAnsi="Century Schoolbook"/>
          <w:sz w:val="24"/>
          <w:szCs w:val="24"/>
        </w:rPr>
        <w:t xml:space="preserve"> or as an additional element</w:t>
      </w:r>
      <w:r>
        <w:rPr>
          <w:rFonts w:ascii="Century Schoolbook" w:hAnsi="Century Schoolbook"/>
          <w:sz w:val="24"/>
          <w:szCs w:val="24"/>
        </w:rPr>
        <w:t>.</w:t>
      </w:r>
    </w:p>
    <w:p w:rsidR="00BE6FA3" w:rsidRPr="00333F2B" w:rsidRDefault="00BE6FA3" w:rsidP="00333F2B">
      <w:pPr>
        <w:pStyle w:val="ListParagraph"/>
        <w:ind w:left="630"/>
        <w:rPr>
          <w:rFonts w:ascii="Century Schoolbook" w:hAnsi="Century Schoolbook"/>
          <w:sz w:val="24"/>
          <w:szCs w:val="24"/>
        </w:rPr>
      </w:pPr>
    </w:p>
    <w:p w:rsidR="00BE6FA3" w:rsidRDefault="00BE6FA3" w:rsidP="00BE6FA3">
      <w:pPr>
        <w:rPr>
          <w:rFonts w:ascii="Century Schoolbook" w:hAnsi="Century Schoolbook"/>
          <w:sz w:val="24"/>
          <w:szCs w:val="24"/>
        </w:rPr>
      </w:pPr>
    </w:p>
    <w:p w:rsidR="00BE6FA3" w:rsidRDefault="00BE6FA3" w:rsidP="00BE6FA3">
      <w:pPr>
        <w:rPr>
          <w:rFonts w:ascii="Century Schoolbook" w:hAnsi="Century Schoolbook"/>
          <w:sz w:val="24"/>
          <w:szCs w:val="24"/>
        </w:rPr>
      </w:pPr>
    </w:p>
    <w:p w:rsidR="00BE6FA3" w:rsidRPr="00BE6FA3" w:rsidRDefault="00BE6FA3" w:rsidP="00BE6FA3">
      <w:pPr>
        <w:rPr>
          <w:rFonts w:ascii="Century Schoolbook" w:hAnsi="Century Schoolbook"/>
          <w:sz w:val="24"/>
          <w:szCs w:val="24"/>
        </w:rPr>
      </w:pPr>
    </w:p>
    <w:sectPr w:rsidR="00BE6FA3" w:rsidRPr="00BE6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7AA"/>
    <w:multiLevelType w:val="hybridMultilevel"/>
    <w:tmpl w:val="97040DCE"/>
    <w:lvl w:ilvl="0" w:tplc="D6A8A7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11B6"/>
    <w:multiLevelType w:val="hybridMultilevel"/>
    <w:tmpl w:val="F4C85BFE"/>
    <w:lvl w:ilvl="0" w:tplc="D8887F10">
      <w:start w:val="1"/>
      <w:numFmt w:val="bullet"/>
      <w:lvlText w:val="-"/>
      <w:lvlJc w:val="left"/>
      <w:pPr>
        <w:ind w:left="108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55404"/>
    <w:multiLevelType w:val="hybridMultilevel"/>
    <w:tmpl w:val="76620384"/>
    <w:lvl w:ilvl="0" w:tplc="8FC4E20C">
      <w:start w:val="1"/>
      <w:numFmt w:val="bullet"/>
      <w:lvlText w:val="-"/>
      <w:lvlJc w:val="left"/>
      <w:pPr>
        <w:ind w:left="1080" w:hanging="360"/>
      </w:pPr>
      <w:rPr>
        <w:rFonts w:ascii="Century Schoolbook" w:eastAsiaTheme="minorHAnsi" w:hAnsi="Century Schoolbook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191A06"/>
    <w:multiLevelType w:val="hybridMultilevel"/>
    <w:tmpl w:val="1910CF5C"/>
    <w:lvl w:ilvl="0" w:tplc="9E664D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6644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927F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5614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B67F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6635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10DD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F47A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E6CD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60E2C89"/>
    <w:multiLevelType w:val="hybridMultilevel"/>
    <w:tmpl w:val="B8E26738"/>
    <w:lvl w:ilvl="0" w:tplc="2B1649E2">
      <w:start w:val="2"/>
      <w:numFmt w:val="bullet"/>
      <w:lvlText w:val="-"/>
      <w:lvlJc w:val="left"/>
      <w:pPr>
        <w:ind w:left="1080" w:hanging="360"/>
      </w:pPr>
      <w:rPr>
        <w:rFonts w:ascii="Century Schoolbook" w:eastAsiaTheme="minorHAnsi" w:hAnsi="Century Schoolbook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3A4033"/>
    <w:multiLevelType w:val="hybridMultilevel"/>
    <w:tmpl w:val="0292F008"/>
    <w:lvl w:ilvl="0" w:tplc="00E23A74">
      <w:start w:val="1"/>
      <w:numFmt w:val="bullet"/>
      <w:lvlText w:val="-"/>
      <w:lvlJc w:val="left"/>
      <w:pPr>
        <w:ind w:left="108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A3"/>
    <w:rsid w:val="000631B3"/>
    <w:rsid w:val="00096BE6"/>
    <w:rsid w:val="000C67AE"/>
    <w:rsid w:val="000F409F"/>
    <w:rsid w:val="001557FA"/>
    <w:rsid w:val="001C105E"/>
    <w:rsid w:val="00282CED"/>
    <w:rsid w:val="00301A62"/>
    <w:rsid w:val="00313F14"/>
    <w:rsid w:val="00333F2B"/>
    <w:rsid w:val="00382A27"/>
    <w:rsid w:val="00421E9B"/>
    <w:rsid w:val="004324C3"/>
    <w:rsid w:val="00495885"/>
    <w:rsid w:val="004C4342"/>
    <w:rsid w:val="004C594D"/>
    <w:rsid w:val="005A2874"/>
    <w:rsid w:val="005A2D94"/>
    <w:rsid w:val="005F08D7"/>
    <w:rsid w:val="00621528"/>
    <w:rsid w:val="006631F2"/>
    <w:rsid w:val="0066411D"/>
    <w:rsid w:val="00676603"/>
    <w:rsid w:val="006861A4"/>
    <w:rsid w:val="006F1A80"/>
    <w:rsid w:val="00725814"/>
    <w:rsid w:val="007342E6"/>
    <w:rsid w:val="00735AFA"/>
    <w:rsid w:val="00767A46"/>
    <w:rsid w:val="00843216"/>
    <w:rsid w:val="009650EE"/>
    <w:rsid w:val="009C583D"/>
    <w:rsid w:val="009C79E6"/>
    <w:rsid w:val="00A03987"/>
    <w:rsid w:val="00A11957"/>
    <w:rsid w:val="00A70C1B"/>
    <w:rsid w:val="00B34E99"/>
    <w:rsid w:val="00B74AD0"/>
    <w:rsid w:val="00BA46CE"/>
    <w:rsid w:val="00BD63A5"/>
    <w:rsid w:val="00BE6FA3"/>
    <w:rsid w:val="00C25554"/>
    <w:rsid w:val="00CB3C37"/>
    <w:rsid w:val="00CD0EA4"/>
    <w:rsid w:val="00DB054B"/>
    <w:rsid w:val="00E54A1B"/>
    <w:rsid w:val="00E955C6"/>
    <w:rsid w:val="00F30C0C"/>
    <w:rsid w:val="00F56D8A"/>
    <w:rsid w:val="00F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CF79"/>
  <w15:chartTrackingRefBased/>
  <w15:docId w15:val="{925B3E63-FE3E-441E-A65D-055154B2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FA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70C1B"/>
    <w:rPr>
      <w:i/>
      <w:iCs/>
    </w:rPr>
  </w:style>
  <w:style w:type="character" w:customStyle="1" w:styleId="costarpage">
    <w:name w:val="co_starpage"/>
    <w:basedOn w:val="DefaultParagraphFont"/>
    <w:rsid w:val="0049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50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6025332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82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21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065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9768298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988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859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6937646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2077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27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0613924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CBB2-24A1-4B8D-A194-AD68F16C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KSAG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Chalmers, Natalie</dc:creator>
  <cp:keywords/>
  <dc:description/>
  <cp:lastModifiedBy>Chalmers, Natalie</cp:lastModifiedBy>
  <cp:revision>40</cp:revision>
  <dcterms:created xsi:type="dcterms:W3CDTF">2024-04-30T19:25:00Z</dcterms:created>
  <dcterms:modified xsi:type="dcterms:W3CDTF">2024-05-30T19:46:00Z</dcterms:modified>
</cp:coreProperties>
</file>